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firstLine="7513"/>
        <w:jc w:val="center"/>
        <w:rPr/>
      </w:pPr>
      <w:r>
        <w:rPr>
          <w:bCs/>
          <w:color w:val="000000"/>
          <w:sz w:val="24"/>
          <w:szCs w:val="24"/>
        </w:rPr>
        <w:t>Утверждена</w:t>
      </w:r>
    </w:p>
    <w:p>
      <w:pPr>
        <w:pStyle w:val="Normal"/>
        <w:shd w:val="clear" w:color="auto" w:fill="FFFFFF"/>
        <w:tabs>
          <w:tab w:val="clear" w:pos="708"/>
          <w:tab w:val="left" w:pos="3148" w:leader="none"/>
          <w:tab w:val="center" w:pos="4818" w:leader="none"/>
          <w:tab w:val="left" w:pos="6926" w:leader="none"/>
        </w:tabs>
        <w:spacing w:lineRule="auto" w:line="240"/>
        <w:ind w:firstLine="7513"/>
        <w:jc w:val="center"/>
        <w:rPr>
          <w:bCs/>
          <w:color w:val="000000"/>
          <w:sz w:val="24"/>
          <w:szCs w:val="24"/>
        </w:rPr>
      </w:pPr>
      <w:r>
        <w:rPr>
          <w:bCs/>
          <w:color w:val="000000"/>
          <w:sz w:val="24"/>
          <w:szCs w:val="24"/>
        </w:rPr>
        <w:t>приказом АО «ДРСК»</w:t>
      </w:r>
    </w:p>
    <w:p>
      <w:pPr>
        <w:pStyle w:val="Normal"/>
        <w:shd w:val="clear" w:color="auto" w:fill="FFFFFF"/>
        <w:tabs>
          <w:tab w:val="clear" w:pos="708"/>
          <w:tab w:val="left" w:pos="3148" w:leader="none"/>
          <w:tab w:val="center" w:pos="4818" w:leader="none"/>
          <w:tab w:val="left" w:pos="6926" w:leader="none"/>
        </w:tabs>
        <w:spacing w:lineRule="auto" w:line="240"/>
        <w:ind w:hanging="0" w:left="6926"/>
        <w:jc w:val="center"/>
        <w:rPr>
          <w:bCs/>
          <w:i/>
          <w:i/>
          <w:color w:val="000000"/>
          <w:sz w:val="22"/>
          <w:szCs w:val="22"/>
        </w:rPr>
      </w:pPr>
      <w:r>
        <w:rPr>
          <w:bCs/>
          <w:color w:val="000000"/>
          <w:sz w:val="24"/>
          <w:szCs w:val="24"/>
        </w:rPr>
        <w:t xml:space="preserve">от 11.12.2023  №528, </w:t>
      </w:r>
    </w:p>
    <w:p>
      <w:pPr>
        <w:pStyle w:val="Normal"/>
        <w:shd w:val="clear" w:color="auto" w:fill="FFFFFF"/>
        <w:tabs>
          <w:tab w:val="clear" w:pos="708"/>
          <w:tab w:val="left" w:pos="3148" w:leader="none"/>
          <w:tab w:val="center" w:pos="4818" w:leader="none"/>
          <w:tab w:val="left" w:pos="6926" w:leader="none"/>
        </w:tabs>
        <w:spacing w:lineRule="auto" w:line="240"/>
        <w:ind w:hanging="0" w:left="6926"/>
        <w:jc w:val="center"/>
        <w:rPr>
          <w:rFonts w:ascii="Liberation Serif" w:hAnsi="Liberation Serif"/>
          <w:b w:val="false"/>
          <w:bCs w:val="false"/>
          <w:i w:val="false"/>
          <w:i w:val="false"/>
          <w:iCs w:val="false"/>
          <w:color w:val="000000"/>
          <w:sz w:val="24"/>
          <w:szCs w:val="24"/>
          <w:shd w:fill="FFFFFF" w:val="clear"/>
        </w:rPr>
      </w:pPr>
      <w:r>
        <w:rPr>
          <w:bCs/>
          <w:color w:val="000000"/>
          <w:sz w:val="24"/>
          <w:szCs w:val="24"/>
        </w:rPr>
        <w:t>в редакции от 25.01.24 №32</w:t>
      </w:r>
      <w:r>
        <w:rPr>
          <w:bCs/>
          <w:i/>
          <w:color w:val="000000"/>
          <w:sz w:val="22"/>
          <w:szCs w:val="22"/>
        </w:rPr>
        <w:t>,</w:t>
      </w:r>
      <w:r>
        <w:rPr>
          <w:bCs/>
          <w:i w:val="false"/>
          <w:iCs w:val="false"/>
          <w:color w:val="000000"/>
          <w:sz w:val="22"/>
          <w:szCs w:val="22"/>
        </w:rPr>
        <w:t xml:space="preserve"> </w:t>
      </w:r>
      <w:r>
        <w:rPr>
          <w:bCs/>
          <w:i w:val="false"/>
          <w:iCs w:val="false"/>
          <w:color w:val="000000"/>
          <w:sz w:val="24"/>
          <w:szCs w:val="24"/>
        </w:rPr>
        <w:t xml:space="preserve">от 05.07.24 №292, от 09.12.24 №511, 20.02.2025 № 81, от 28.02.2025 №94, от 26.06.2025 №285, </w:t>
      </w:r>
      <w:r>
        <w:rPr>
          <w:rFonts w:ascii="Liberation Serif" w:hAnsi="Liberation Serif"/>
          <w:b w:val="false"/>
          <w:bCs w:val="false"/>
          <w:i w:val="false"/>
          <w:iCs w:val="false"/>
          <w:color w:val="000000"/>
          <w:sz w:val="24"/>
          <w:szCs w:val="24"/>
          <w:shd w:fill="FFFFFF" w:val="clear"/>
        </w:rPr>
        <w:t xml:space="preserve">от 24.10.25 №470, </w:t>
      </w:r>
      <w:r>
        <w:rPr>
          <w:rFonts w:cs="Liberation Serif;Times New Roman" w:ascii="Liberation Serif;Times New Roman" w:hAnsi="Liberation Serif;Times New Roman"/>
          <w:b w:val="false"/>
          <w:bCs w:val="false"/>
          <w:i w:val="false"/>
          <w:iCs w:val="false"/>
          <w:color w:val="000000"/>
          <w:sz w:val="24"/>
          <w:szCs w:val="24"/>
          <w:shd w:fill="FFFFFF" w:val="clear"/>
        </w:rPr>
        <w:t>от 11.06.2026 №257</w:t>
      </w:r>
    </w:p>
    <w:p>
      <w:pPr>
        <w:pStyle w:val="Normal"/>
        <w:shd w:val="clear" w:color="auto" w:fill="FFFFFF"/>
        <w:tabs>
          <w:tab w:val="clear" w:pos="708"/>
          <w:tab w:val="left" w:pos="3148" w:leader="none"/>
          <w:tab w:val="center" w:pos="4818" w:leader="none"/>
          <w:tab w:val="left" w:pos="6926" w:leader="none"/>
        </w:tabs>
        <w:spacing w:lineRule="auto" w:line="240"/>
        <w:ind w:firstLine="7513"/>
        <w:jc w:val="center"/>
        <w:rPr>
          <w:bCs/>
          <w:i w:val="false"/>
          <w:i w:val="false"/>
          <w:iCs w:val="false"/>
          <w:color w:val="000000"/>
          <w:sz w:val="22"/>
          <w:szCs w:val="22"/>
        </w:rPr>
      </w:pPr>
      <w:r>
        <w:rPr>
          <w:bCs/>
          <w:i w:val="false"/>
          <w:iCs w:val="false"/>
          <w:color w:val="000000"/>
          <w:sz w:val="22"/>
          <w:szCs w:val="22"/>
        </w:rPr>
      </w:r>
    </w:p>
    <w:p>
      <w:pPr>
        <w:pStyle w:val="Normal"/>
        <w:shd w:val="clear" w:color="auto" w:fill="FFFFFF"/>
        <w:tabs>
          <w:tab w:val="clear" w:pos="708"/>
          <w:tab w:val="left" w:pos="3148" w:leader="none"/>
          <w:tab w:val="center" w:pos="4818" w:leader="none"/>
          <w:tab w:val="left" w:pos="6926" w:leader="none"/>
        </w:tabs>
        <w:spacing w:lineRule="auto" w:line="240"/>
        <w:ind w:hanging="0"/>
        <w:jc w:val="right"/>
        <w:rPr>
          <w:bCs/>
          <w:i/>
          <w:i/>
          <w:color w:val="000000"/>
          <w:sz w:val="22"/>
          <w:szCs w:val="22"/>
        </w:rPr>
      </w:pPr>
      <w:r>
        <w:rPr>
          <w:bCs/>
          <w:i/>
          <w:color w:val="000000"/>
          <w:sz w:val="22"/>
          <w:szCs w:val="22"/>
        </w:rPr>
      </w:r>
    </w:p>
    <w:p>
      <w:pPr>
        <w:pStyle w:val="Normal"/>
        <w:shd w:val="clear" w:color="auto" w:fill="FFFFFF"/>
        <w:tabs>
          <w:tab w:val="clear" w:pos="708"/>
          <w:tab w:val="left" w:pos="3148" w:leader="none"/>
          <w:tab w:val="center" w:pos="4818" w:leader="none"/>
          <w:tab w:val="left" w:pos="6926" w:leader="none"/>
        </w:tabs>
        <w:spacing w:lineRule="auto" w:line="240"/>
        <w:ind w:hanging="0"/>
        <w:jc w:val="left"/>
        <w:rPr>
          <w:b/>
          <w:sz w:val="24"/>
          <w:szCs w:val="24"/>
        </w:rPr>
      </w:pPr>
      <w:r>
        <w:rPr>
          <w:b/>
          <w:bCs/>
          <w:color w:val="000000"/>
          <w:sz w:val="24"/>
          <w:szCs w:val="24"/>
        </w:rPr>
        <w:tab/>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00000A"/>
        </w:rPr>
      </w:pPr>
      <w:r>
        <w:rPr>
          <w:b/>
          <w:color w:val="00000A"/>
          <w:lang w:val="ru-RU"/>
        </w:rPr>
        <w:t>А</w:t>
      </w:r>
      <w:r>
        <w:rPr>
          <w:b/>
          <w:color w:val="00000A"/>
        </w:rPr>
        <w:t>кционерное общество «</w:t>
      </w:r>
      <w:r>
        <w:rPr>
          <w:b/>
          <w:color w:val="00000A"/>
          <w:lang w:val="ru-RU"/>
        </w:rPr>
        <w:t>Дальневосточная распределительная сетевая компания</w:t>
      </w:r>
      <w:r>
        <w:rPr>
          <w:b/>
          <w:color w:val="00000A"/>
        </w:rPr>
        <w:t xml:space="preserve">» </w:t>
      </w:r>
      <w:r>
        <w:rPr>
          <w:color w:val="00000A"/>
        </w:rPr>
        <w:t>(</w:t>
      </w:r>
      <w:r>
        <w:rPr>
          <w:color w:val="00000A"/>
          <w:lang w:val="ru-RU"/>
        </w:rPr>
        <w:t>АО «ДРСК»</w:t>
      </w:r>
      <w:r>
        <w:rPr>
          <w:color w:val="00000A"/>
        </w:rPr>
        <w:t xml:space="preserve">) (далее – «Заказчик»), в лице </w:t>
      </w:r>
      <w:r>
        <w:rPr>
          <w:b/>
          <w:bCs/>
          <w:color w:val="00000A"/>
        </w:rPr>
        <w:t>директора филиала АО «ДРСК» «ЭС ЕАО» Демьянова Антона Васильевича</w:t>
      </w:r>
      <w:r>
        <w:rPr>
          <w:color w:val="00000A"/>
        </w:rPr>
        <w:t xml:space="preserve"> действующего на основании </w:t>
      </w:r>
      <w:r>
        <w:rPr>
          <w:b/>
          <w:bCs/>
          <w:color w:val="00000A"/>
        </w:rPr>
        <w:t>доверенности от 01.01.2026 года №8</w:t>
      </w:r>
      <w:r>
        <w:rPr>
          <w:color w:val="00000A"/>
        </w:rPr>
        <w:t xml:space="preserve">, с одной стороны, и </w:t>
      </w:r>
    </w:p>
    <w:p>
      <w:pPr>
        <w:pStyle w:val="BodyText3"/>
        <w:ind w:firstLine="708"/>
        <w:rPr>
          <w:color w:val="00000A"/>
        </w:rPr>
      </w:pPr>
      <w:r>
        <w:rPr>
          <w:color w:val="00000A"/>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00000A"/>
          <w:lang w:val="ru-RU"/>
        </w:rPr>
      </w:pPr>
      <w:r>
        <w:rPr>
          <w:color w:val="00000A"/>
        </w:rPr>
        <w:t xml:space="preserve">совместно в дальнейшем именуемые «Стороны», а по отдельности – «Сторона», </w:t>
      </w:r>
      <w:r>
        <w:rPr>
          <w:color w:val="00000A"/>
          <w:lang w:val="ru-RU"/>
        </w:rPr>
        <w:br/>
      </w:r>
      <w:r>
        <w:rPr>
          <w:color w:val="00000A"/>
        </w:rPr>
        <w:t>по результатам проведенной Заказчиком конкурентной процедуры по лоту №_________</w:t>
      </w:r>
      <w:r>
        <w:rPr>
          <w:bCs/>
          <w:color w:val="00000A"/>
        </w:rPr>
        <w:t>,</w:t>
      </w:r>
      <w:r>
        <w:rPr/>
        <w:t xml:space="preserve"> </w:t>
      </w:r>
      <w:r>
        <w:rPr>
          <w:lang w:val="ru-RU"/>
        </w:rPr>
        <w:br/>
      </w:r>
      <w:r>
        <w:rPr>
          <w:color w:val="00000A"/>
          <w:lang w:val="ru-RU"/>
        </w:rPr>
        <w:t>и</w:t>
      </w:r>
      <w:r>
        <w:rPr>
          <w:lang w:val="ru-RU"/>
        </w:rPr>
        <w:t xml:space="preserve"> </w:t>
      </w:r>
      <w:r>
        <w:rPr>
          <w:bCs/>
          <w:color w:val="00000A"/>
        </w:rPr>
        <w:t>на основании про</w:t>
      </w:r>
      <w:r>
        <w:rPr>
          <w:bCs/>
          <w:color w:val="000000"/>
          <w:shd w:fill="FFFFFF" w:val="clear"/>
        </w:rPr>
        <w:t xml:space="preserve">токола о результатах </w:t>
      </w:r>
      <w:r>
        <w:rPr>
          <w:bCs/>
          <w:color w:val="000000"/>
          <w:shd w:fill="FFFFFF" w:val="clear"/>
          <w:lang w:val="ru-RU"/>
        </w:rPr>
        <w:t>_________</w:t>
      </w:r>
      <w:r>
        <w:rPr>
          <w:bCs/>
          <w:color w:val="00000A"/>
          <w:lang w:val="ru-RU"/>
        </w:rPr>
        <w:t>_</w:t>
      </w:r>
      <w:r>
        <w:rPr>
          <w:bCs/>
          <w:color w:val="00000A"/>
        </w:rPr>
        <w:t xml:space="preserve"> от «___»__________ г</w:t>
      </w:r>
      <w:r>
        <w:rPr>
          <w:bCs/>
          <w:color w:val="00000A"/>
          <w:lang w:val="ru-RU"/>
        </w:rPr>
        <w:t>.</w:t>
      </w:r>
      <w:r>
        <w:rPr>
          <w:bCs/>
          <w:color w:val="00000A"/>
        </w:rPr>
        <w:t xml:space="preserve"> </w:t>
      </w:r>
      <w:r>
        <w:rPr>
          <w:bCs/>
          <w:color w:val="00000A"/>
          <w:lang w:val="ru-RU"/>
        </w:rPr>
        <w:t xml:space="preserve"> </w:t>
      </w:r>
      <w:r>
        <w:rPr>
          <w:bCs/>
          <w:color w:val="00000A"/>
        </w:rPr>
        <w:t>№_______</w:t>
      </w:r>
      <w:r>
        <w:rPr>
          <w:bCs/>
          <w:color w:val="00000A"/>
          <w:lang w:val="ru-RU"/>
        </w:rPr>
        <w:t>,</w:t>
      </w:r>
    </w:p>
    <w:p>
      <w:pPr>
        <w:pStyle w:val="BodyText3"/>
        <w:ind w:firstLine="708"/>
        <w:rPr>
          <w:color w:val="00000A"/>
          <w:lang w:val="ru-RU"/>
        </w:rPr>
      </w:pPr>
      <w:r>
        <w:rPr>
          <w:color w:val="00000A"/>
        </w:rPr>
        <w:t>заключили настоящий договор (далее – «Договор») о нижеследующем:</w:t>
      </w:r>
    </w:p>
    <w:p>
      <w:pPr>
        <w:pStyle w:val="BodyText3"/>
        <w:ind w:firstLine="708"/>
        <w:rPr>
          <w:color w:val="00000A"/>
          <w:lang w:val="ru-RU"/>
        </w:rPr>
      </w:pPr>
      <w:r>
        <w:rPr>
          <w:color w:val="00000A"/>
          <w:lang w:val="ru-RU"/>
        </w:rPr>
      </w:r>
    </w:p>
    <w:p>
      <w:pPr>
        <w:pStyle w:val="ListParagraph"/>
        <w:shd w:val="clear" w:color="auto" w:fill="FFFFFF"/>
        <w:tabs>
          <w:tab w:val="clear" w:pos="708"/>
          <w:tab w:val="left" w:pos="284" w:leader="none"/>
        </w:tabs>
        <w:ind w:hanging="0" w:left="0"/>
        <w:jc w:val="center"/>
        <w:rPr>
          <w:b/>
          <w:bCs/>
        </w:rPr>
      </w:pPr>
      <w:r>
        <w:rPr>
          <w:b/>
          <w:bCs/>
        </w:rPr>
        <w:t>Термины и определения</w:t>
      </w:r>
    </w:p>
    <w:p>
      <w:pPr>
        <w:pStyle w:val="BodyText3"/>
        <w:ind w:firstLine="708"/>
        <w:rPr>
          <w:color w:val="00000A"/>
          <w:lang w:val="ru-RU"/>
        </w:rPr>
      </w:pPr>
      <w:r>
        <w:rPr>
          <w:color w:val="00000A"/>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firstLine="708" w:left="0"/>
        <w:jc w:val="both"/>
        <w:rPr>
          <w:lang w:eastAsia="en-US"/>
        </w:rPr>
      </w:pPr>
      <w:r>
        <w:rPr>
          <w:b/>
          <w:lang w:eastAsia="en-US"/>
        </w:rPr>
        <w:t xml:space="preserve">«Акт КС-2», «Справка КС-3» –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br/>
        <w:t>№ 100.</w:t>
      </w:r>
    </w:p>
    <w:p>
      <w:pPr>
        <w:pStyle w:val="ListParagraph"/>
        <w:ind w:firstLine="708" w:left="0"/>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предусмотренных Договором.</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w:t>
        <w:br/>
        <w:t xml:space="preserve">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ind w:firstLine="708" w:left="0"/>
        <w:jc w:val="both"/>
        <w:rPr>
          <w:lang w:eastAsia="en-US"/>
        </w:rPr>
      </w:pPr>
      <w:r>
        <w:rPr>
          <w:b/>
          <w:lang w:eastAsia="en-US"/>
        </w:rPr>
        <w:t>«Акт ОС-15»</w:t>
      </w:r>
      <w:r>
        <w:rPr>
          <w:b/>
        </w:rPr>
        <w:t xml:space="preserve"> </w:t>
      </w:r>
      <w:r>
        <w:rPr>
          <w:lang w:eastAsia="en-US"/>
        </w:rPr>
        <w:t xml:space="preserve">– документ, оформляемый по унифицированной форме № ОС-15 «Акт </w:t>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pPr>
        <w:pStyle w:val="ListParagraph"/>
        <w:ind w:firstLine="708" w:left="0"/>
        <w:jc w:val="both"/>
        <w:rPr>
          <w:lang w:eastAsia="en-US"/>
        </w:rPr>
      </w:pPr>
      <w:r>
        <w:rPr>
          <w:b/>
          <w:lang w:eastAsia="en-US"/>
        </w:rPr>
        <w:t>«Акт освидетельствования выполненных работ»</w:t>
      </w:r>
      <w:r>
        <w:rPr>
          <w:lang w:eastAsia="en-US"/>
        </w:rPr>
        <w:t xml:space="preserve"> – документ, оформляемый </w:t>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pPr>
        <w:pStyle w:val="ListParagraph"/>
        <w:ind w:firstLine="708" w:left="0"/>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overflowPunct w:val="true"/>
        <w:ind w:firstLine="709" w:left="0"/>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pPr>
        <w:pStyle w:val="ListParagraph"/>
        <w:widowControl w:val="false"/>
        <w:shd w:val="clear" w:color="auto" w:fill="FFFFFF"/>
        <w:tabs>
          <w:tab w:val="clear" w:pos="708"/>
          <w:tab w:val="left" w:pos="567" w:leader="none"/>
          <w:tab w:val="left" w:pos="1134" w:leader="none"/>
        </w:tabs>
        <w:overflowPunct w:val="false"/>
        <w:ind w:firstLine="709" w:left="0"/>
        <w:jc w:val="both"/>
        <w:textAlignment w:val="baseline"/>
        <w:rPr>
          <w:highlight w:val="white"/>
        </w:rPr>
      </w:pPr>
      <w:r>
        <w:rPr>
          <w:b/>
          <w:shd w:fill="FFFFFF" w:val="clear"/>
          <w:lang w:eastAsia="en-US"/>
        </w:rPr>
        <w:t>«Банковская гарантия»</w:t>
      </w:r>
      <w:r>
        <w:rPr>
          <w:shd w:fill="FFFFFF" w:val="clea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 в той мере, в какой указанные правила не противоречат законодательству Российской Федерации и условиям настоящего Договора.</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«Гарантийный срок»</w:t>
      </w:r>
      <w:r>
        <w:rPr/>
        <w:t xml:space="preserve"> </w:t>
      </w:r>
      <w:r>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highlight w:val="lightGray"/>
          <w:lang w:eastAsia="en-US"/>
        </w:rPr>
        <w:t>«Гарантированные показатели»</w:t>
      </w:r>
      <w:r>
        <w:rPr>
          <w:highlight w:val="lightGray"/>
          <w:lang w:eastAsia="en-US"/>
        </w:rPr>
        <w:t xml:space="preserve"> – важные для Заказчика характеристики Объекта, которые могут быть измерены арифметически (количественно).</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 xml:space="preserve">подлежащие приемке Подрядчиком от Заказчика для выполнения Работ по Договору без оплаты стоимости </w:t>
        <w:br/>
        <w:t xml:space="preserve">таких материалов (запасных частей), с обязательством их использования </w:t>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w:t>
      </w:r>
      <w:r>
        <w:rPr>
          <w:shd w:fill="FFFFFF" w:val="clear"/>
          <w:lang w:eastAsia="en-US"/>
        </w:rPr>
        <w:t>говора.</w:t>
      </w:r>
    </w:p>
    <w:p>
      <w:pPr>
        <w:pStyle w:val="ListParagraph"/>
        <w:widowControl w:val="false"/>
        <w:shd w:val="clear" w:color="auto" w:fill="FFFFFF"/>
        <w:tabs>
          <w:tab w:val="clear" w:pos="708"/>
          <w:tab w:val="left" w:pos="567" w:leader="none"/>
          <w:tab w:val="left" w:pos="1134" w:leader="none"/>
        </w:tabs>
        <w:overflowPunct w:val="false"/>
        <w:ind w:firstLine="708" w:left="0"/>
        <w:jc w:val="both"/>
        <w:textAlignment w:val="baseline"/>
        <w:rPr>
          <w:highlight w:val="white"/>
        </w:rPr>
      </w:pPr>
      <w:r>
        <w:rPr>
          <w:b/>
          <w:shd w:fill="FFFFFF" w:val="clear"/>
          <w:lang w:eastAsia="en-US"/>
        </w:rPr>
        <w:t xml:space="preserve">«Исполнительная документация» – </w:t>
      </w:r>
      <w:r>
        <w:rPr>
          <w:shd w:fill="FFFFFF" w:val="clea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shd w:fill="FFFFFF" w:val="clear"/>
          <w:lang w:eastAsia="en-US"/>
        </w:rPr>
        <w:t>«Коммерческая тайна»</w:t>
      </w:r>
      <w:r>
        <w:rPr>
          <w:shd w:fill="FFFFFF" w:val="clear"/>
          <w:lang w:eastAsia="en-US"/>
        </w:rPr>
        <w:t xml:space="preserve"> – режим конфиденци</w:t>
      </w:r>
      <w:r>
        <w:rPr>
          <w:lang w:eastAsia="en-US"/>
        </w:rPr>
        <w:t xml:space="preserve">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w:t>
        <w:br/>
        <w:t xml:space="preserve">и разборку титульных временных зданий и сооружений, специально возводимых </w:t>
        <w:br/>
        <w:t>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b/>
          <w:lang w:eastAsia="en-US"/>
        </w:rPr>
      </w:pPr>
      <w:r>
        <w:rPr>
          <w:b/>
          <w:lang w:eastAsia="en-US"/>
        </w:rPr>
        <w:t xml:space="preserve">«Накладная ТОРГ-12» – </w:t>
      </w:r>
      <w:r>
        <w:rPr>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Оборудования по количеству, качеству и комплектности.</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highlight w:val="none"/>
          <w:shd w:fill="auto" w:val="clear"/>
        </w:rPr>
      </w:pPr>
      <w:r>
        <w:rPr>
          <w:rFonts w:ascii="Liberation Serif" w:hAnsi="Liberation Serif"/>
          <w:b w:val="false"/>
          <w:bCs w:val="false"/>
          <w:i w:val="false"/>
          <w:iCs w:val="false"/>
          <w:caps w:val="false"/>
          <w:smallCaps w:val="false"/>
          <w:sz w:val="24"/>
          <w:szCs w:val="24"/>
          <w:shd w:fill="auto" w:val="clear"/>
          <w:lang w:eastAsia="en-US"/>
        </w:rPr>
        <w:t>При использовании Сторонами электронного документооборота, Стороны по договору вместо ТОРГ-12  оформляют УПД</w:t>
      </w:r>
      <w:r>
        <w:rPr>
          <w:rStyle w:val="FootnoteReference"/>
          <w:rFonts w:ascii="Liberation Serif" w:hAnsi="Liberation Serif"/>
          <w:b w:val="false"/>
          <w:bCs w:val="false"/>
          <w:i w:val="false"/>
          <w:iCs w:val="false"/>
          <w:caps w:val="false"/>
          <w:smallCaps w:val="false"/>
          <w:sz w:val="24"/>
          <w:szCs w:val="24"/>
          <w:shd w:fill="auto" w:val="clear"/>
          <w:lang w:eastAsia="en-US"/>
        </w:rPr>
        <w:footnoteReference w:id="2"/>
      </w:r>
      <w:r>
        <w:rPr>
          <w:rFonts w:ascii="Liberation Serif" w:hAnsi="Liberation Serif"/>
          <w:b w:val="false"/>
          <w:bCs w:val="false"/>
          <w:i w:val="false"/>
          <w:iCs w:val="false"/>
          <w:caps w:val="false"/>
          <w:smallCaps w:val="false"/>
          <w:sz w:val="24"/>
          <w:szCs w:val="24"/>
          <w:shd w:fill="auto" w:val="clear"/>
          <w:lang w:eastAsia="en-US"/>
        </w:rPr>
        <w:t>. В этом случае условия Договора в отношении ТОРГ-12 применяются в равной степени к УПД.</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«Обеспечительный платеж»</w:t>
      </w:r>
      <w:r>
        <w:rPr>
          <w:lang w:eastAsia="en-US"/>
        </w:rPr>
        <w:t xml:space="preserve"> – платеж в размер</w:t>
      </w:r>
      <w:r>
        <w:rPr>
          <w:shd w:fill="FFFFFF" w:val="clear"/>
          <w:lang w:eastAsia="en-US"/>
        </w:rPr>
        <w:t xml:space="preserve">е 10 (десяти) процентов </w:t>
      </w:r>
      <w:r>
        <w:rPr>
          <w:lang w:eastAsia="en-US"/>
        </w:rPr>
        <w:t xml:space="preserve">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w:t>
        <w:br/>
        <w:t>и Спецификации Оборудования, являющихся приложениями к Договору.</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«Партия Оборудования»</w:t>
      </w:r>
      <w:r>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pPr>
        <w:pStyle w:val="BodyText"/>
        <w:spacing w:lineRule="auto" w:line="240" w:before="0" w:after="0"/>
        <w:ind w:firstLine="709" w:left="0" w:right="0"/>
        <w:jc w:val="both"/>
        <w:rPr>
          <w:highlight w:val="none"/>
          <w:shd w:fill="auto" w:val="clear"/>
        </w:rPr>
      </w:pPr>
      <w:r>
        <w:rPr>
          <w:rFonts w:ascii="Liberation Serif" w:hAnsi="Liberation Serif"/>
          <w:b/>
          <w:bCs/>
          <w:i w:val="false"/>
          <w:caps w:val="false"/>
          <w:smallCaps w:val="false"/>
          <w:strike w:val="false"/>
          <w:dstrike w:val="false"/>
          <w:color w:val="000000"/>
          <w:sz w:val="24"/>
          <w:szCs w:val="24"/>
          <w:u w:val="none"/>
          <w:effect w:val="none"/>
          <w:shd w:fill="auto" w:val="clear"/>
          <w:lang w:val="ru-RU" w:eastAsia="en-US"/>
        </w:rPr>
        <w:t>«ППР»</w:t>
      </w:r>
      <w:r>
        <w:rPr>
          <w:rFonts w:ascii="Liberation Serif" w:hAnsi="Liberation Serif"/>
          <w:b w:val="false"/>
          <w:i w:val="false"/>
          <w:caps w:val="false"/>
          <w:smallCaps w:val="false"/>
          <w:strike w:val="false"/>
          <w:dstrike w:val="false"/>
          <w:color w:val="000000"/>
          <w:sz w:val="24"/>
          <w:szCs w:val="24"/>
          <w:u w:val="none"/>
          <w:effect w:val="none"/>
          <w:shd w:fill="auto" w:val="clear"/>
          <w:lang w:val="ru-RU" w:eastAsia="en-US"/>
        </w:rPr>
        <w:t xml:space="preserve"> — проект производства работ, составляемый Подрядчиком в соответствии с условиями Технического задания к Договору, обязательно согласовывается с Заказчиком;</w:t>
      </w:r>
    </w:p>
    <w:p>
      <w:pPr>
        <w:pStyle w:val="Heading3"/>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br/>
        <w:t xml:space="preserve">документация в строительстве (МДС), руководящие документы (РД), своды правил </w:t>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br/>
        <w:t>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br/>
        <w:t xml:space="preserve">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true"/>
        <w:ind w:firstLine="720" w:left="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b w:val="false"/>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eastAsia="en-US"/>
        </w:rPr>
        <w:t>«</w:t>
      </w:r>
      <w:r>
        <w:rPr>
          <w:sz w:val="24"/>
          <w:szCs w:val="24"/>
          <w:lang w:val="ru-RU" w:eastAsia="en-US"/>
        </w:rPr>
        <w:t>Проектные работы»</w:t>
      </w:r>
      <w:r>
        <w:rPr>
          <w:b w:val="false"/>
          <w:sz w:val="24"/>
          <w:szCs w:val="24"/>
          <w:lang w:val="ru-RU" w:eastAsia="en-US"/>
        </w:rPr>
        <w:t xml:space="preserve"> – вид Работ по Договору, выполняемый в целях разработки </w:t>
      </w:r>
      <w:r>
        <w:rPr>
          <w:b w:val="false"/>
          <w:sz w:val="24"/>
          <w:szCs w:val="24"/>
          <w:highlight w:val="lightGray"/>
          <w:lang w:val="ru-RU" w:eastAsia="en-US"/>
        </w:rPr>
        <w:t>/ корректировки</w:t>
      </w:r>
      <w:r>
        <w:rPr>
          <w:b w:val="false"/>
          <w:sz w:val="24"/>
          <w:szCs w:val="24"/>
          <w:lang w:val="ru-RU" w:eastAsia="en-US"/>
        </w:rPr>
        <w:t xml:space="preserve"> Проектной документации и Рабочей документации, подлежащей согласованию и приемке Заказчиком.</w:t>
      </w:r>
    </w:p>
    <w:p>
      <w:pPr>
        <w:pStyle w:val="Heading3"/>
        <w:keepNext w:val="false"/>
        <w:widowControl w:val="false"/>
        <w:tabs>
          <w:tab w:val="clear" w:pos="708"/>
          <w:tab w:val="left" w:pos="567" w:leader="none"/>
        </w:tabs>
        <w:overflowPunct w:val="true"/>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w:t>
        <w:br/>
        <w:t xml:space="preserve">с использованием своих и / или привлеченных за свой счет сил и средств (материалов, Оборудования, инструмента), </w:t>
      </w:r>
      <w:r>
        <w:rPr>
          <w:b w:val="false"/>
          <w:sz w:val="24"/>
          <w:szCs w:val="24"/>
          <w:highlight w:val="lightGray"/>
          <w:lang w:val="ru-RU" w:eastAsia="en-US"/>
        </w:rPr>
        <w:t>Давальческих материалов и запасных частей и Оборудования Заказчика</w:t>
      </w:r>
      <w:r>
        <w:rPr>
          <w:b w:val="false"/>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rPr>
      </w:pPr>
      <w:r>
        <w:rPr>
          <w:b/>
          <w:sz w:val="24"/>
          <w:szCs w:val="24"/>
          <w:lang w:eastAsia="en-US"/>
        </w:rPr>
        <w:t xml:space="preserve">«Рабочая документация» – </w:t>
      </w:r>
      <w:r>
        <w:rPr>
          <w:sz w:val="24"/>
          <w:szCs w:val="24"/>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 реконструкции и последующего ввода в эксплуатацию Объекта.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w:t>
        <w:br/>
        <w:t xml:space="preserve">в Гарантийную эксплуатацию по Акту КС-11 либо </w:t>
      </w:r>
      <w:r>
        <w:rPr>
          <w:b w:val="false"/>
          <w:sz w:val="24"/>
          <w:szCs w:val="24"/>
          <w:highlight w:val="lightGray"/>
          <w:lang w:val="ru-RU" w:eastAsia="en-US"/>
        </w:rPr>
        <w:t>Акту КС-14</w:t>
      </w:r>
      <w:r>
        <w:rPr>
          <w:sz w:val="24"/>
          <w:szCs w:val="24"/>
          <w:highlight w:val="lightGray"/>
        </w:rPr>
        <w:t xml:space="preserve"> </w:t>
      </w:r>
      <w:r>
        <w:rPr>
          <w:b w:val="false"/>
          <w:sz w:val="24"/>
          <w:szCs w:val="24"/>
          <w:highlight w:val="lightGray"/>
          <w:lang w:val="ru-RU"/>
        </w:rPr>
        <w:t>(</w:t>
      </w:r>
      <w:r>
        <w:rPr>
          <w:b w:val="false"/>
          <w:sz w:val="24"/>
          <w:szCs w:val="24"/>
          <w:highlight w:val="lightGray"/>
          <w:lang w:val="ru-RU" w:eastAsia="en-US"/>
        </w:rPr>
        <w:t>в случае необходимости комиссионной приемки Объекта),</w:t>
      </w:r>
      <w:r>
        <w:rPr>
          <w:b w:val="false"/>
          <w:sz w:val="24"/>
          <w:szCs w:val="24"/>
          <w:lang w:val="ru-RU" w:eastAsia="en-US"/>
        </w:rPr>
        <w:t xml:space="preserve"> соответствующий требованиям, изложенным </w:t>
        <w:br/>
        <w:t>в Техническом задании (Приложение № 1 к Договору).</w:t>
      </w:r>
    </w:p>
    <w:p>
      <w:pPr>
        <w:pStyle w:val="Normal"/>
        <w:spacing w:lineRule="auto" w:line="240"/>
        <w:ind w:firstLine="709"/>
        <w:rPr>
          <w:highlight w:val="white"/>
        </w:rPr>
      </w:pPr>
      <w:r>
        <w:rPr>
          <w:b/>
          <w:sz w:val="24"/>
          <w:szCs w:val="24"/>
          <w:shd w:fill="FFFFFF" w:val="clear"/>
          <w:lang w:eastAsia="en-US"/>
        </w:rPr>
        <w:t>«Скрытые работы»</w:t>
      </w:r>
      <w:r>
        <w:rPr>
          <w:sz w:val="24"/>
          <w:szCs w:val="24"/>
          <w:shd w:fill="FFFFFF" w:val="clear"/>
          <w:lang w:eastAsia="en-US"/>
        </w:rPr>
        <w:t xml:space="preserve"> – </w:t>
      </w:r>
      <w:r>
        <w:rPr>
          <w:sz w:val="24"/>
          <w:szCs w:val="24"/>
          <w:shd w:fill="FFFFFF" w:val="clear"/>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shd w:fill="FFFFFF" w:val="clear"/>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Normal"/>
        <w:spacing w:lineRule="auto" w:line="240"/>
        <w:ind w:firstLine="709"/>
        <w:rPr>
          <w:sz w:val="24"/>
          <w:szCs w:val="24"/>
          <w:lang w:val="x-none" w:eastAsia="en-US"/>
        </w:rPr>
      </w:pPr>
      <w:r>
        <w:rPr>
          <w:b/>
          <w:sz w:val="24"/>
          <w:szCs w:val="24"/>
          <w:shd w:fill="FFFFFF" w:val="clear"/>
          <w:lang w:eastAsia="en-US"/>
        </w:rPr>
        <w:t xml:space="preserve"> </w:t>
      </w:r>
      <w:r>
        <w:rPr>
          <w:b/>
          <w:sz w:val="24"/>
          <w:szCs w:val="24"/>
          <w:shd w:fill="FFFFFF" w:val="clear"/>
          <w:lang w:eastAsia="en-US"/>
        </w:rPr>
        <w:t xml:space="preserve">«Субъект </w:t>
      </w:r>
      <w:r>
        <w:rPr>
          <w:b/>
          <w:sz w:val="24"/>
          <w:szCs w:val="24"/>
          <w:lang w:eastAsia="en-US"/>
        </w:rPr>
        <w:t>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расположенном </w:t>
        <w:br/>
        <w:t xml:space="preserve">по адресу: </w:t>
      </w:r>
      <w:r>
        <w:rPr>
          <w:b w:val="false"/>
          <w:sz w:val="24"/>
          <w:szCs w:val="24"/>
          <w:highlight w:val="lightGray"/>
          <w:lang w:val="ru-RU" w:eastAsia="en-US"/>
        </w:rPr>
        <w:t>______________________.</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shd w:fill="FFFFFF" w:val="clear"/>
          <w:lang w:val="ru-RU" w:eastAsia="en-US"/>
        </w:rPr>
        <w:t>«</w:t>
      </w: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br/>
        <w:t>по Договору.</w:t>
      </w:r>
    </w:p>
    <w:p>
      <w:pPr>
        <w:pStyle w:val="Heading3"/>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w:t>
        <w:br/>
        <w:t xml:space="preserve">и состав Работ по Договору, перечень необходимого Оборудования и требования Заказчика </w:t>
        <w:br/>
        <w:t xml:space="preserve">к выполнению Подрядчиком Работ по Договору в целом. </w:t>
      </w:r>
    </w:p>
    <w:p>
      <w:pPr>
        <w:pStyle w:val="Heading3"/>
        <w:widowControl w:val="false"/>
        <w:tabs>
          <w:tab w:val="clear" w:pos="708"/>
          <w:tab w:val="left" w:pos="567" w:leader="none"/>
        </w:tabs>
        <w:overflowPunct w:val="true"/>
        <w:spacing w:before="0" w:after="0"/>
        <w:ind w:firstLine="708"/>
        <w:jc w:val="both"/>
        <w:textAlignment w:val="baseline"/>
        <w:rPr>
          <w:highlight w:val="none"/>
          <w:shd w:fill="FFFF00" w:val="clear"/>
        </w:rPr>
      </w:pPr>
      <w:r>
        <w:rPr>
          <w:rFonts w:ascii="Liberation Serif" w:hAnsi="Liberation Serif"/>
          <w:b/>
          <w:bCs/>
          <w:sz w:val="24"/>
          <w:szCs w:val="24"/>
          <w:shd w:fill="FFFF00" w:val="clear"/>
          <w:lang w:val="ru-RU" w:eastAsia="en-US"/>
        </w:rPr>
        <w:t xml:space="preserve">«Универсальный передаточный документ (УПД)» </w:t>
      </w:r>
      <w:r>
        <w:rPr>
          <w:rFonts w:ascii="Liberation Serif" w:hAnsi="Liberation Serif"/>
          <w:b w:val="false"/>
          <w:bCs w:val="false"/>
          <w:sz w:val="24"/>
          <w:szCs w:val="24"/>
          <w:shd w:fill="FFFF00" w:val="clear"/>
          <w:lang w:val="ru-RU" w:eastAsia="en-US"/>
        </w:rPr>
        <w:t>– форма докуме</w:t>
      </w:r>
      <w:r>
        <w:rPr>
          <w:rFonts w:ascii="Liberation Serif" w:hAnsi="Liberation Serif"/>
          <w:b w:val="false"/>
          <w:sz w:val="24"/>
          <w:szCs w:val="24"/>
          <w:shd w:fill="FFFF00" w:val="clear"/>
          <w:lang w:val="ru-RU" w:eastAsia="en-US"/>
        </w:rPr>
        <w:t>нта, рекомендованная для применения письмом ФНС России от 21.10.2013 No ММВ-20-3/96@ (объединяет реквизиты счета-фактуры и первичного документа о передаче товаров, работ, услуг).</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8"/>
          <w:tab w:val="left" w:pos="567" w:leader="none"/>
        </w:tabs>
        <w:overflowPunct w:val="true"/>
        <w:spacing w:before="0" w:after="0"/>
        <w:ind w:firstLine="708"/>
        <w:jc w:val="both"/>
        <w:textAlignment w:val="baseline"/>
        <w:rPr>
          <w:bCs/>
        </w:rPr>
      </w:pPr>
      <w:r>
        <w:rPr>
          <w:b w:val="false"/>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br/>
        <w:t>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rPr>
          <w:lang w:val="x-none" w:eastAsia="x-none"/>
        </w:rPr>
      </w:pPr>
      <w:r>
        <w:rPr>
          <w:lang w:val="x-none" w:eastAsia="x-none"/>
        </w:rPr>
      </w:r>
    </w:p>
    <w:p>
      <w:pPr>
        <w:pStyle w:val="ListParagraph"/>
        <w:numPr>
          <w:ilvl w:val="0"/>
          <w:numId w:val="2"/>
        </w:numPr>
        <w:shd w:val="clear" w:color="auto" w:fill="FFFFFF"/>
        <w:tabs>
          <w:tab w:val="clear" w:pos="708"/>
          <w:tab w:val="left" w:pos="284" w:leader="none"/>
        </w:tabs>
        <w:ind w:hanging="0" w:left="0"/>
        <w:jc w:val="center"/>
        <w:rPr>
          <w:b/>
          <w:bCs/>
        </w:rPr>
      </w:pPr>
      <w:r>
        <w:rPr>
          <w:b/>
          <w:bCs/>
        </w:rPr>
        <w:t>Предмет Договора</w:t>
      </w:r>
    </w:p>
    <w:p>
      <w:pPr>
        <w:pStyle w:val="ListParagraph"/>
        <w:numPr>
          <w:ilvl w:val="1"/>
          <w:numId w:val="2"/>
        </w:numPr>
        <w:shd w:val="clear" w:color="auto" w:fill="FFFFFF"/>
        <w:tabs>
          <w:tab w:val="clear" w:pos="708"/>
          <w:tab w:val="left" w:pos="1134" w:leader="none"/>
        </w:tabs>
        <w:ind w:firstLine="709" w:left="0"/>
        <w:jc w:val="both"/>
        <w:rPr>
          <w:bCs/>
        </w:rPr>
      </w:pPr>
      <w:bookmarkStart w:id="0"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по </w:t>
      </w:r>
      <w:bookmarkEnd w:id="0"/>
      <w:r>
        <w:rPr>
          <w:b/>
          <w:bCs/>
        </w:rPr>
        <w:t>«</w:t>
      </w:r>
      <w:r>
        <w:rPr>
          <w:b/>
          <w:bCs/>
          <w:i/>
          <w:shd w:fill="auto" w:val="clear"/>
        </w:rPr>
        <w:t>ОКПД2  42.22.22 Выполнение работ по строительству КЛЭП 0,4 кВ — 0,56 км для технологического присоединения объекта «ЭПУ на земельном участке для электроснабжения (Многоквартирный жилой дом)» заявителя ООО "Специализированный застройщик "Уютный дом" договор ТПр от 02.02.2026 №ТПр 31/26»</w:t>
      </w:r>
      <w:r>
        <w:rPr>
          <w:b/>
          <w:bCs/>
        </w:rPr>
        <w:t xml:space="preserve">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708"/>
          <w:tab w:val="left" w:pos="1134" w:leader="none"/>
        </w:tabs>
        <w:ind w:firstLine="709" w:left="0"/>
        <w:jc w:val="both"/>
        <w:rPr>
          <w:bCs/>
        </w:rPr>
      </w:pPr>
      <w:r>
        <w:rPr>
          <w:bCs/>
        </w:rPr>
        <w:t>В состав Работ по Договору входят</w:t>
      </w:r>
      <w:r>
        <w:rPr>
          <w:rStyle w:val="FootnoteReference"/>
          <w:bCs/>
        </w:rPr>
        <w:footnoteReference w:id="3"/>
      </w:r>
      <w:r>
        <w:rPr>
          <w:bCs/>
        </w:rPr>
        <w:t>:</w:t>
      </w:r>
    </w:p>
    <w:p>
      <w:pPr>
        <w:pStyle w:val="ListParagraph"/>
        <w:numPr>
          <w:ilvl w:val="2"/>
          <w:numId w:val="2"/>
        </w:numPr>
        <w:shd w:val="clear" w:color="auto" w:fill="FFFFFF"/>
        <w:tabs>
          <w:tab w:val="clear" w:pos="708"/>
          <w:tab w:val="left" w:pos="1418" w:leader="none"/>
        </w:tabs>
        <w:ind w:firstLine="709" w:left="0"/>
        <w:jc w:val="both"/>
        <w:rPr>
          <w:bCs/>
          <w:highlight w:val="lightGray"/>
        </w:rPr>
      </w:pPr>
      <w:r>
        <w:rPr>
          <w:bCs/>
          <w:highlight w:val="lightGray"/>
        </w:rPr>
        <w:t>Обследования, изыскания, разработка Рабочей документации (далее – Проектные работы);</w:t>
      </w:r>
    </w:p>
    <w:p>
      <w:pPr>
        <w:pStyle w:val="ListParagraph"/>
        <w:numPr>
          <w:ilvl w:val="2"/>
          <w:numId w:val="2"/>
        </w:numPr>
        <w:shd w:val="clear" w:color="auto" w:fill="FFFFFF"/>
        <w:tabs>
          <w:tab w:val="clear" w:pos="708"/>
          <w:tab w:val="left" w:pos="1418" w:leader="none"/>
        </w:tabs>
        <w:ind w:firstLine="709" w:left="0"/>
        <w:jc w:val="both"/>
        <w:rPr>
          <w:bCs/>
          <w:highlight w:val="lightGray"/>
        </w:rPr>
      </w:pPr>
      <w:r>
        <w:rPr>
          <w:bCs/>
          <w:highlight w:val="lightGray"/>
        </w:rPr>
        <w:t>Подготовка территории строительства;</w:t>
      </w:r>
    </w:p>
    <w:p>
      <w:pPr>
        <w:pStyle w:val="ListParagraph"/>
        <w:numPr>
          <w:ilvl w:val="2"/>
          <w:numId w:val="2"/>
        </w:numPr>
        <w:shd w:val="clear" w:color="auto" w:fill="FFFFFF"/>
        <w:tabs>
          <w:tab w:val="clear" w:pos="708"/>
          <w:tab w:val="left" w:pos="1418" w:leader="none"/>
        </w:tabs>
        <w:ind w:firstLine="709" w:left="0"/>
        <w:jc w:val="both"/>
        <w:rPr>
          <w:bCs/>
          <w:highlight w:val="lightGray"/>
        </w:rPr>
      </w:pPr>
      <w:r>
        <w:rPr>
          <w:bCs/>
          <w:highlight w:val="lightGray"/>
        </w:rPr>
        <w:t>Строительно-монтажные работы;</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br/>
        <w:t>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Работы по Договору выполняются для нужд </w:t>
      </w:r>
      <w:r>
        <w:rPr>
          <w:bCs/>
          <w:shd w:fill="auto" w:val="clear"/>
        </w:rPr>
        <w:t>филиала АО «ДРСК» «ЭС ЕАО»</w:t>
      </w:r>
      <w:r>
        <w:rPr>
          <w:bCs/>
        </w:rPr>
        <w:t xml:space="preserve">.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Место выполнения Работ : </w:t>
      </w:r>
      <w:r>
        <w:rPr>
          <w:bCs/>
          <w:shd w:fill="auto" w:val="clear"/>
        </w:rPr>
        <w:t>г.Биробиджан</w:t>
      </w:r>
      <w:r>
        <w:rPr>
          <w:shd w:fill="auto" w:val="clear"/>
        </w:rPr>
        <w:t>.</w:t>
      </w:r>
    </w:p>
    <w:p>
      <w:pPr>
        <w:pStyle w:val="ListParagraph"/>
        <w:numPr>
          <w:ilvl w:val="1"/>
          <w:numId w:val="2"/>
        </w:numPr>
        <w:shd w:val="clear" w:color="auto" w:fill="FFFFFF"/>
        <w:tabs>
          <w:tab w:val="clear" w:pos="708"/>
          <w:tab w:val="left" w:pos="1134" w:leader="none"/>
        </w:tabs>
        <w:ind w:firstLine="709" w:left="0"/>
        <w:jc w:val="both"/>
        <w:rPr>
          <w:bCs/>
        </w:rPr>
      </w:pPr>
      <w:bookmarkStart w:id="1" w:name="_Ref361320424"/>
      <w:bookmarkEnd w:id="1"/>
      <w:r>
        <w:rPr>
          <w:bCs/>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firstLine="709" w:left="0"/>
        <w:jc w:val="both"/>
        <w:rPr/>
      </w:pPr>
      <w:r>
        <w:rPr>
          <w:bCs/>
        </w:rPr>
        <w:t xml:space="preserve">начало выполнения Работ: </w:t>
      </w:r>
      <w:r>
        <w:rPr>
          <w:shd w:fill="auto" w:val="clear"/>
        </w:rPr>
        <w:t>с даты, следующей за датой заключения Договора;</w:t>
      </w:r>
    </w:p>
    <w:p>
      <w:pPr>
        <w:pStyle w:val="ListParagraph"/>
        <w:numPr>
          <w:ilvl w:val="2"/>
          <w:numId w:val="2"/>
        </w:numPr>
        <w:shd w:val="clear" w:color="auto" w:fill="FFFFFF"/>
        <w:tabs>
          <w:tab w:val="clear" w:pos="708"/>
          <w:tab w:val="left" w:pos="1418" w:leader="none"/>
        </w:tabs>
        <w:ind w:firstLine="709" w:left="0"/>
        <w:jc w:val="both"/>
        <w:rPr/>
      </w:pPr>
      <w:r>
        <w:rPr>
          <w:bCs/>
        </w:rPr>
        <w:t xml:space="preserve">окончание выполнения Работ: </w:t>
      </w:r>
      <w:r>
        <w:rPr>
          <w:shd w:fill="auto" w:val="clear"/>
        </w:rPr>
        <w:t xml:space="preserve">«30» ноября 2026 г.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Техническом задании (Приложение № 1 к Договору).</w:t>
      </w:r>
    </w:p>
    <w:p>
      <w:pPr>
        <w:pStyle w:val="ListParagraph"/>
        <w:shd w:val="clear" w:color="auto" w:fill="FFFFFF"/>
        <w:tabs>
          <w:tab w:val="clear" w:pos="708"/>
          <w:tab w:val="left" w:pos="1134" w:leader="none"/>
        </w:tabs>
        <w:ind w:hanging="0" w:left="567"/>
        <w:jc w:val="both"/>
        <w:rPr>
          <w:bCs/>
        </w:rPr>
      </w:pPr>
      <w:r>
        <w:rPr>
          <w:bCs/>
        </w:rPr>
      </w:r>
    </w:p>
    <w:p>
      <w:pPr>
        <w:pStyle w:val="ListParagraph"/>
        <w:numPr>
          <w:ilvl w:val="0"/>
          <w:numId w:val="0"/>
        </w:numPr>
        <w:shd w:val="clear" w:color="auto" w:fill="FFFFFF"/>
        <w:tabs>
          <w:tab w:val="clear" w:pos="708"/>
          <w:tab w:val="left" w:pos="284" w:leader="none"/>
        </w:tabs>
        <w:ind w:hanging="0" w:left="0"/>
        <w:jc w:val="center"/>
        <w:rPr>
          <w:b/>
          <w:bCs/>
        </w:rPr>
      </w:pPr>
      <w:r>
        <w:rPr>
          <w:b/>
          <w:bCs/>
        </w:rPr>
      </w:r>
    </w:p>
    <w:p>
      <w:pPr>
        <w:pStyle w:val="ListParagraph"/>
        <w:numPr>
          <w:ilvl w:val="0"/>
          <w:numId w:val="2"/>
        </w:numPr>
        <w:shd w:val="clear" w:color="auto" w:fill="FFFFFF"/>
        <w:tabs>
          <w:tab w:val="clear" w:pos="708"/>
          <w:tab w:val="left" w:pos="284" w:leader="none"/>
        </w:tabs>
        <w:ind w:hanging="0" w:left="0"/>
        <w:jc w:val="center"/>
        <w:rPr>
          <w:b/>
          <w:bCs/>
        </w:rPr>
      </w:pPr>
      <w:r>
        <w:rPr>
          <w:b/>
          <w:bCs/>
        </w:rPr>
        <w:t xml:space="preserve">Права и обязанности Сторон </w:t>
      </w:r>
    </w:p>
    <w:p>
      <w:pPr>
        <w:pStyle w:val="ListParagraph"/>
        <w:numPr>
          <w:ilvl w:val="1"/>
          <w:numId w:val="2"/>
        </w:numPr>
        <w:shd w:val="clear" w:color="auto" w:fill="FFFFFF"/>
        <w:tabs>
          <w:tab w:val="clear" w:pos="708"/>
          <w:tab w:val="left" w:pos="1134" w:leader="none"/>
        </w:tabs>
        <w:ind w:firstLine="709" w:left="0"/>
        <w:jc w:val="both"/>
        <w:rPr>
          <w:bCs/>
        </w:rPr>
      </w:pPr>
      <w:r>
        <w:rPr>
          <w:bCs/>
          <w:u w:val="single"/>
        </w:rPr>
        <w:t>Заказчик обязан</w:t>
      </w:r>
      <w:r>
        <w:rPr>
          <w:bCs/>
        </w:rPr>
        <w:t>:</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8"/>
          <w:tab w:val="left" w:pos="1418" w:leader="none"/>
        </w:tabs>
        <w:ind w:firstLine="709" w:left="0"/>
        <w:jc w:val="both"/>
        <w:rPr/>
      </w:pPr>
      <w:bookmarkStart w:id="2" w:name="_Ref361396847"/>
      <w:bookmarkStart w:id="3" w:name="_Ref361401696"/>
      <w:bookmarkStart w:id="4" w:name="_Ref361320734"/>
      <w:bookmarkEnd w:id="2"/>
      <w:bookmarkEnd w:id="3"/>
      <w:bookmarkEnd w:id="4"/>
      <w:r>
        <w:rPr>
          <w:bCs/>
        </w:rPr>
        <w:t xml:space="preserve">В течение </w:t>
      </w:r>
      <w:r>
        <w:rPr>
          <w:bCs/>
          <w:highlight w:val="lightGray"/>
        </w:rPr>
        <w:t>3 (трех)</w:t>
      </w:r>
      <w:r>
        <w:rPr>
          <w:bCs/>
        </w:rPr>
        <w:t xml:space="preserve"> рабочих дней с даты вступления Договора в силу, </w:t>
        <w:br/>
        <w:t>но не ранее получения соответствующего письменного запроса Подрядчика, передать (предоставить) последнему:</w:t>
      </w:r>
    </w:p>
    <w:p>
      <w:pPr>
        <w:pStyle w:val="ListParagraph"/>
        <w:numPr>
          <w:ilvl w:val="0"/>
          <w:numId w:val="6"/>
        </w:numPr>
        <w:shd w:val="clear" w:color="auto" w:fill="FFFFFF"/>
        <w:tabs>
          <w:tab w:val="clear" w:pos="708"/>
          <w:tab w:val="left" w:pos="709" w:leader="none"/>
          <w:tab w:val="left" w:pos="1418" w:leader="none"/>
        </w:tabs>
        <w:ind w:firstLine="709" w:left="0"/>
        <w:jc w:val="both"/>
        <w:rPr/>
      </w:pPr>
      <w:r>
        <w:rPr/>
        <w:t xml:space="preserve">место производства Работ, </w:t>
      </w:r>
      <w:r>
        <w:rPr>
          <w:highlight w:val="lightGray"/>
        </w:rPr>
        <w:t xml:space="preserve">место (помещение) для складирования материалов </w:t>
        <w:br/>
        <w:t>и Оборудования</w:t>
      </w:r>
      <w:r>
        <w:rPr/>
        <w:t xml:space="preserve"> по соответствующим актам сдачи-приемки (Приложение № 5.1 к Договору);</w:t>
      </w:r>
    </w:p>
    <w:p>
      <w:pPr>
        <w:pStyle w:val="ListParagraph"/>
        <w:numPr>
          <w:ilvl w:val="0"/>
          <w:numId w:val="6"/>
        </w:numPr>
        <w:shd w:val="clear" w:color="auto" w:fill="FFFFFF"/>
        <w:tabs>
          <w:tab w:val="clear" w:pos="708"/>
          <w:tab w:val="left" w:pos="709" w:leader="none"/>
          <w:tab w:val="left" w:pos="1418" w:leader="none"/>
        </w:tabs>
        <w:ind w:firstLine="709" w:left="0"/>
        <w:jc w:val="both"/>
        <w:rPr/>
      </w:pPr>
      <w:r>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br/>
        <w:t>№ 5.2 к Договору);</w:t>
      </w:r>
      <w:r>
        <w:rPr/>
        <w:t xml:space="preserve"> </w:t>
      </w:r>
    </w:p>
    <w:p>
      <w:pPr>
        <w:pStyle w:val="ListParagraph"/>
        <w:numPr>
          <w:ilvl w:val="2"/>
          <w:numId w:val="2"/>
        </w:numPr>
        <w:shd w:val="clear" w:color="auto" w:fill="FFFFFF"/>
        <w:tabs>
          <w:tab w:val="clear" w:pos="708"/>
          <w:tab w:val="left" w:pos="1418" w:leader="none"/>
        </w:tabs>
        <w:ind w:firstLine="709" w:left="0"/>
        <w:jc w:val="both"/>
        <w:rPr/>
      </w:pPr>
      <w:bookmarkStart w:id="5" w:name="_Ref361396847_Копия_1"/>
      <w:bookmarkStart w:id="6" w:name="_Ref361401696_Копия_1"/>
      <w:bookmarkStart w:id="7" w:name="_Ref361320734_Копия_1"/>
      <w:bookmarkEnd w:id="5"/>
      <w:bookmarkEnd w:id="6"/>
      <w:bookmarkEnd w:id="7"/>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Normal"/>
        <w:shd w:val="clear" w:color="auto" w:fill="FFFFFF"/>
        <w:tabs>
          <w:tab w:val="clear" w:pos="708"/>
          <w:tab w:val="left" w:pos="1418" w:leader="none"/>
        </w:tabs>
        <w:spacing w:lineRule="auto" w:line="240"/>
        <w:ind w:firstLine="709"/>
        <w:rPr>
          <w:bCs/>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№12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clear" w:pos="708"/>
          <w:tab w:val="left" w:pos="709" w:leader="none"/>
        </w:tabs>
        <w:ind w:firstLine="709" w:left="0"/>
        <w:jc w:val="both"/>
        <w:rPr>
          <w:bCs/>
        </w:rPr>
      </w:pPr>
      <w:r>
        <w:rPr>
          <w:bCs/>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2"/>
        </w:numPr>
        <w:tabs>
          <w:tab w:val="clear" w:pos="708"/>
          <w:tab w:val="left" w:pos="709" w:leader="none"/>
        </w:tabs>
        <w:ind w:firstLine="709" w:left="0"/>
        <w:jc w:val="both"/>
        <w:rPr>
          <w:bCs/>
        </w:rPr>
      </w:pPr>
      <w:r>
        <w:rPr>
          <w:bCs/>
        </w:rPr>
        <w:t>Производить освидетельствование (приемку) Скрытых работ.</w:t>
      </w:r>
    </w:p>
    <w:p>
      <w:pPr>
        <w:pStyle w:val="ListParagraph"/>
        <w:numPr>
          <w:ilvl w:val="2"/>
          <w:numId w:val="2"/>
        </w:numPr>
        <w:shd w:val="clear" w:color="auto" w:fill="FFFFFF"/>
        <w:tabs>
          <w:tab w:val="clear" w:pos="708"/>
          <w:tab w:val="left" w:pos="709" w:leader="none"/>
        </w:tabs>
        <w:ind w:firstLine="709" w:left="0"/>
        <w:jc w:val="both"/>
        <w:rPr>
          <w:bCs/>
        </w:rPr>
      </w:pPr>
      <w:r>
        <w:rPr>
          <w:bCs/>
        </w:rPr>
        <w:t>Выполнять иные обязанности, предусмотренные Договором.</w:t>
      </w:r>
    </w:p>
    <w:p>
      <w:pPr>
        <w:pStyle w:val="ListParagraph"/>
        <w:numPr>
          <w:ilvl w:val="2"/>
          <w:numId w:val="2"/>
        </w:numPr>
        <w:shd w:val="clear" w:color="auto" w:fill="FFFFFF"/>
        <w:tabs>
          <w:tab w:val="clear" w:pos="708"/>
          <w:tab w:val="left" w:pos="709" w:leader="none"/>
        </w:tabs>
        <w:ind w:firstLine="709" w:left="0"/>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2"/>
          <w:numId w:val="2"/>
        </w:numPr>
        <w:shd w:val="clear" w:color="auto" w:fill="FFFFFF"/>
        <w:tabs>
          <w:tab w:val="clear" w:pos="708"/>
          <w:tab w:val="left" w:pos="709" w:leader="none"/>
        </w:tabs>
        <w:ind w:firstLine="709" w:left="0"/>
        <w:jc w:val="both"/>
        <w:rPr>
          <w:highlight w:val="none"/>
          <w:shd w:fill="auto" w:val="clear"/>
        </w:rPr>
      </w:pPr>
      <w:r>
        <w:rPr>
          <w:rFonts w:ascii="Liberation Serif" w:hAnsi="Liberation Serif"/>
          <w:sz w:val="24"/>
          <w:szCs w:val="24"/>
          <w:shd w:fill="auto" w:val="clear"/>
        </w:rPr>
        <w:t>Рассмотреть и подписать полученную от Подрядчика оферту дополнительного соглашения о корректировке Календарного графика (Приложение №2 к Договору), подготовленную Подрядчиком в соответствии с п.2.3.41 Договора, в течение 30 (тридцати) календарных дней с момента получения оферты от Подрядчика.</w:t>
      </w:r>
    </w:p>
    <w:p>
      <w:pPr>
        <w:pStyle w:val="ListParagraph"/>
        <w:shd w:val="clear" w:color="auto" w:fill="FFFFFF"/>
        <w:tabs>
          <w:tab w:val="clear" w:pos="708"/>
          <w:tab w:val="left" w:pos="709" w:leader="none"/>
        </w:tabs>
        <w:ind w:firstLine="709" w:left="0"/>
        <w:jc w:val="both"/>
        <w:rPr>
          <w:rFonts w:ascii="Liberation Serif" w:hAnsi="Liberation Serif"/>
          <w:sz w:val="24"/>
          <w:szCs w:val="24"/>
          <w:highlight w:val="none"/>
          <w:shd w:fill="FFFF00" w:val="clear"/>
        </w:rPr>
      </w:pPr>
      <w:r>
        <w:rPr>
          <w:rFonts w:ascii="Liberation Serif" w:hAnsi="Liberation Serif"/>
          <w:sz w:val="24"/>
          <w:szCs w:val="24"/>
          <w:shd w:fill="FFFF00" w:val="clear"/>
        </w:rPr>
      </w:r>
    </w:p>
    <w:p>
      <w:pPr>
        <w:pStyle w:val="ListParagraph"/>
        <w:numPr>
          <w:ilvl w:val="1"/>
          <w:numId w:val="2"/>
        </w:numPr>
        <w:shd w:val="clear" w:color="auto" w:fill="FFFFFF"/>
        <w:tabs>
          <w:tab w:val="clear" w:pos="708"/>
          <w:tab w:val="left" w:pos="1134" w:leader="none"/>
        </w:tabs>
        <w:ind w:firstLine="709" w:left="0"/>
        <w:jc w:val="both"/>
        <w:rPr>
          <w:bCs/>
        </w:rPr>
      </w:pPr>
      <w:r>
        <w:rPr>
          <w:bCs/>
          <w:u w:val="single"/>
        </w:rPr>
        <w:t>Заказчик имеет право</w:t>
      </w:r>
      <w:r>
        <w:rPr>
          <w:bCs/>
        </w:rPr>
        <w:t>:</w:t>
      </w:r>
    </w:p>
    <w:p>
      <w:pPr>
        <w:pStyle w:val="ListParagraph"/>
        <w:numPr>
          <w:ilvl w:val="2"/>
          <w:numId w:val="2"/>
        </w:numPr>
        <w:shd w:val="clear" w:color="auto" w:fill="FFFFFF"/>
        <w:tabs>
          <w:tab w:val="clear" w:pos="708"/>
          <w:tab w:val="left" w:pos="1418" w:leader="none"/>
        </w:tabs>
        <w:ind w:firstLine="709" w:left="0"/>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w:t>
      </w:r>
      <w:r>
        <w:rPr>
          <w:bCs/>
          <w:shd w:fill="FFFFFF" w:val="clear"/>
        </w:rPr>
        <w:t xml:space="preserve"> сроков их вы</w:t>
      </w:r>
      <w:r>
        <w:rPr>
          <w:bCs/>
        </w:rPr>
        <w:t>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708"/>
          <w:tab w:val="left" w:pos="1418" w:leader="none"/>
        </w:tabs>
        <w:ind w:firstLine="709" w:left="0"/>
        <w:jc w:val="both"/>
        <w:rPr>
          <w:bCs/>
        </w:rPr>
      </w:pPr>
      <w:bookmarkStart w:id="8" w:name="_Ref361334652"/>
      <w:r>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w:t>
        <w:br/>
        <w:t>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8"/>
      <w:r>
        <w:rPr>
          <w:bCs/>
        </w:rPr>
        <w:t xml:space="preserve"> </w:t>
      </w:r>
    </w:p>
    <w:p>
      <w:pPr>
        <w:pStyle w:val="ListParagraph"/>
        <w:numPr>
          <w:ilvl w:val="2"/>
          <w:numId w:val="2"/>
        </w:numPr>
        <w:shd w:val="clear" w:color="auto" w:fill="FFFFFF"/>
        <w:tabs>
          <w:tab w:val="clear" w:pos="708"/>
          <w:tab w:val="left" w:pos="1418" w:leader="none"/>
        </w:tabs>
        <w:ind w:firstLine="709" w:left="0"/>
        <w:jc w:val="both"/>
        <w:rPr>
          <w:bCs/>
        </w:rPr>
      </w:pPr>
      <w:bookmarkStart w:id="9" w:name="_Ref361334468"/>
      <w:bookmarkEnd w:id="9"/>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br/>
        <w:t>до принятия совместного решения Сторон о возобновлении допуска.</w:t>
      </w:r>
    </w:p>
    <w:p>
      <w:pPr>
        <w:pStyle w:val="ListParagraph"/>
        <w:numPr>
          <w:ilvl w:val="2"/>
          <w:numId w:val="2"/>
        </w:numPr>
        <w:shd w:val="clear" w:color="auto" w:fill="FFFFFF"/>
        <w:tabs>
          <w:tab w:val="clear" w:pos="708"/>
          <w:tab w:val="left" w:pos="1418" w:leader="none"/>
        </w:tabs>
        <w:ind w:firstLine="709" w:left="0"/>
        <w:jc w:val="both"/>
        <w:rPr>
          <w:bCs/>
        </w:rPr>
      </w:pPr>
      <w:bookmarkStart w:id="10"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0"/>
      <w:r>
        <w:rPr>
          <w:bCs/>
        </w:rPr>
        <w:t xml:space="preserve"> </w:t>
      </w:r>
    </w:p>
    <w:p>
      <w:pPr>
        <w:pStyle w:val="ListParagraph"/>
        <w:numPr>
          <w:ilvl w:val="2"/>
          <w:numId w:val="2"/>
        </w:numPr>
        <w:shd w:val="clear" w:color="auto" w:fill="FFFFFF"/>
        <w:tabs>
          <w:tab w:val="clear" w:pos="708"/>
          <w:tab w:val="left" w:pos="1418" w:leader="none"/>
        </w:tabs>
        <w:ind w:firstLine="709" w:left="0"/>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br/>
        <w:t>и привлеченным им Субподрядчикам.</w:t>
      </w:r>
    </w:p>
    <w:p>
      <w:pPr>
        <w:pStyle w:val="ListParagraph"/>
        <w:numPr>
          <w:ilvl w:val="2"/>
          <w:numId w:val="2"/>
        </w:numPr>
        <w:shd w:val="clear" w:color="auto" w:fill="FFFFFF"/>
        <w:tabs>
          <w:tab w:val="clear" w:pos="708"/>
          <w:tab w:val="left" w:pos="567" w:leader="none"/>
          <w:tab w:val="left" w:pos="1418" w:leader="none"/>
        </w:tabs>
        <w:ind w:firstLine="709" w:left="0"/>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8"/>
          <w:tab w:val="left" w:pos="567" w:leader="none"/>
          <w:tab w:val="left" w:pos="1418" w:leader="none"/>
        </w:tabs>
        <w:ind w:firstLine="709" w:left="0"/>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br/>
        <w:t>на период, дост</w:t>
      </w:r>
      <w:r>
        <w:rPr>
          <w:bCs/>
          <w:shd w:fill="auto" w:val="clear"/>
        </w:rPr>
        <w:t xml:space="preserve">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BodyText"/>
        <w:widowControl/>
        <w:suppressAutoHyphens w:val="true"/>
        <w:bidi w:val="0"/>
        <w:spacing w:lineRule="auto" w:line="240" w:before="0" w:after="0"/>
        <w:ind w:firstLine="624" w:left="113" w:right="0"/>
        <w:jc w:val="both"/>
        <w:rPr>
          <w:highlight w:val="none"/>
          <w:shd w:fill="auto" w:val="clear"/>
        </w:rPr>
      </w:pPr>
      <w:r>
        <w:rPr>
          <w:b w:val="false"/>
          <w:bCs w:val="false"/>
          <w:i w:val="false"/>
          <w:iCs w:val="false"/>
          <w:sz w:val="24"/>
          <w:szCs w:val="24"/>
          <w:shd w:fill="auto" w:val="clear"/>
        </w:rPr>
        <w:t>2.2.9. В любое время т</w:t>
      </w:r>
      <w:r>
        <w:rPr>
          <w:b w:val="false"/>
          <w:bCs/>
          <w:i w:val="false"/>
          <w:iCs w:val="false"/>
          <w:sz w:val="24"/>
          <w:szCs w:val="24"/>
          <w:shd w:fill="auto" w:val="clear"/>
        </w:rPr>
        <w:t xml:space="preserve">ребовать от Подрядчика представления информации о наличии </w:t>
      </w:r>
      <w:r>
        <w:rPr>
          <w:b w:val="false"/>
          <w:bCs w:val="false"/>
          <w:i w:val="false"/>
          <w:iCs w:val="false"/>
          <w:sz w:val="24"/>
          <w:szCs w:val="24"/>
          <w:shd w:fill="auto"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w:t>
      </w:r>
      <w:r>
        <w:rPr>
          <w:b w:val="false"/>
          <w:bCs/>
          <w:i w:val="false"/>
          <w:iCs w:val="false"/>
          <w:sz w:val="24"/>
          <w:szCs w:val="24"/>
          <w:shd w:fill="auto" w:val="clear"/>
        </w:rPr>
        <w:t>.</w:t>
      </w:r>
    </w:p>
    <w:p>
      <w:pPr>
        <w:pStyle w:val="Normal"/>
        <w:widowControl/>
        <w:suppressAutoHyphens w:val="true"/>
        <w:bidi w:val="0"/>
        <w:spacing w:lineRule="auto" w:line="240" w:before="0" w:after="0"/>
        <w:ind w:firstLine="737" w:left="0" w:right="0"/>
        <w:jc w:val="both"/>
        <w:rPr>
          <w:highlight w:val="none"/>
          <w:shd w:fill="auto" w:val="clear"/>
        </w:rPr>
      </w:pPr>
      <w:r>
        <w:rPr>
          <w:bCs/>
          <w:sz w:val="24"/>
          <w:szCs w:val="24"/>
          <w:shd w:fill="auto" w:val="clear"/>
        </w:rPr>
        <w:t>2.2.10. В случае нарушения Подрядчиком п.2.3.10 настоящего договора Заказчик имеет право:</w:t>
      </w:r>
    </w:p>
    <w:p>
      <w:pPr>
        <w:pStyle w:val="Normal"/>
        <w:spacing w:lineRule="auto" w:line="240"/>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bCs/>
          <w:sz w:val="24"/>
          <w:szCs w:val="24"/>
        </w:rPr>
      </w:pPr>
      <w:r>
        <w:rPr>
          <w:bCs/>
          <w:sz w:val="24"/>
          <w:szCs w:val="24"/>
        </w:rPr>
        <w:t>либо</w:t>
      </w:r>
    </w:p>
    <w:p>
      <w:pPr>
        <w:pStyle w:val="Normal"/>
        <w:spacing w:lineRule="auto" w:line="240"/>
        <w:rPr>
          <w:sz w:val="24"/>
          <w:szCs w:val="24"/>
        </w:rPr>
      </w:pPr>
      <w:r>
        <w:rPr>
          <w:bCs/>
          <w:sz w:val="24"/>
          <w:szCs w:val="24"/>
        </w:rPr>
        <w:t>- допустить работников Подрядчика к работам в соответствии с п.3.1.10</w:t>
      </w:r>
      <w:r>
        <w:rPr>
          <w:sz w:val="24"/>
          <w:szCs w:val="24"/>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BodyText"/>
        <w:widowControl/>
        <w:suppressAutoHyphens w:val="true"/>
        <w:bidi w:val="0"/>
        <w:spacing w:lineRule="auto" w:line="240" w:before="0" w:after="0"/>
        <w:ind w:firstLine="624" w:left="113" w:right="0"/>
        <w:jc w:val="both"/>
        <w:rPr>
          <w:rFonts w:ascii="Times New Roman" w:hAnsi="Times New Roman"/>
          <w:sz w:val="24"/>
          <w:szCs w:val="24"/>
          <w:highlight w:val="none"/>
          <w:shd w:fill="FFFF00" w:val="clear"/>
        </w:rPr>
      </w:pPr>
      <w:r>
        <w:rPr>
          <w:sz w:val="24"/>
          <w:szCs w:val="24"/>
          <w:shd w:fill="FFFF00" w:val="clear"/>
        </w:rPr>
      </w:r>
    </w:p>
    <w:p>
      <w:pPr>
        <w:pStyle w:val="ListParagraph"/>
        <w:shd w:val="clear" w:color="auto" w:fill="FFFFFF"/>
        <w:tabs>
          <w:tab w:val="clear" w:pos="708"/>
          <w:tab w:val="left" w:pos="567" w:leader="none"/>
        </w:tabs>
        <w:ind w:firstLine="567" w:left="0"/>
        <w:jc w:val="both"/>
        <w:rPr>
          <w:bCs/>
          <w:color w:val="FF0000"/>
        </w:rPr>
      </w:pPr>
      <w:r>
        <w:rPr>
          <w:bCs/>
          <w:color w:val="FF0000"/>
        </w:rPr>
      </w:r>
    </w:p>
    <w:p>
      <w:pPr>
        <w:pStyle w:val="ListParagraph"/>
        <w:numPr>
          <w:ilvl w:val="1"/>
          <w:numId w:val="2"/>
        </w:numPr>
        <w:shd w:val="clear" w:color="auto" w:fill="FFFFFF"/>
        <w:tabs>
          <w:tab w:val="clear" w:pos="708"/>
          <w:tab w:val="left" w:pos="1134" w:leader="none"/>
        </w:tabs>
        <w:ind w:firstLine="567" w:left="0"/>
        <w:jc w:val="both"/>
        <w:rPr>
          <w:bCs/>
        </w:rPr>
      </w:pPr>
      <w:r>
        <w:rPr>
          <w:bCs/>
          <w:u w:val="single"/>
        </w:rPr>
        <w:t>Подрядчик обязан</w:t>
      </w:r>
      <w:r>
        <w:rPr>
          <w:bCs/>
        </w:rPr>
        <w:t>:</w:t>
      </w:r>
    </w:p>
    <w:p>
      <w:pPr>
        <w:pStyle w:val="ListParagraph"/>
        <w:numPr>
          <w:ilvl w:val="2"/>
          <w:numId w:val="2"/>
        </w:numPr>
        <w:shd w:val="clear" w:color="auto" w:fill="FFFFFF"/>
        <w:tabs>
          <w:tab w:val="clear" w:pos="708"/>
          <w:tab w:val="left" w:pos="1418" w:leader="none"/>
        </w:tabs>
        <w:ind w:firstLine="567" w:left="0"/>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2"/>
        </w:numPr>
        <w:shd w:val="clear" w:color="auto" w:fill="FFFFFF"/>
        <w:tabs>
          <w:tab w:val="clear" w:pos="708"/>
          <w:tab w:val="left" w:pos="1418" w:leader="none"/>
        </w:tabs>
        <w:ind w:firstLine="567" w:left="0"/>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7"/>
        </w:numPr>
        <w:shd w:val="clear" w:color="auto" w:fill="FFFFFF"/>
        <w:tabs>
          <w:tab w:val="clear" w:pos="708"/>
          <w:tab w:val="left" w:pos="1418" w:leader="none"/>
        </w:tabs>
        <w:ind w:firstLine="709" w:left="0"/>
        <w:jc w:val="both"/>
        <w:rPr>
          <w:bCs/>
        </w:rPr>
      </w:pPr>
      <w:r>
        <w:rPr>
          <w:bCs/>
        </w:rPr>
        <w:t>место производства Работ,</w:t>
      </w:r>
      <w:r>
        <w:rPr>
          <w:bCs/>
          <w:color w:val="FF0000"/>
        </w:rPr>
        <w:t xml:space="preserve"> </w:t>
      </w:r>
      <w:r>
        <w:rPr>
          <w:bCs/>
          <w:highlight w:val="lightGray"/>
        </w:rPr>
        <w:t xml:space="preserve">место (помещение) для складирования материалов </w:t>
        <w:br/>
        <w:t>и Оборудования</w:t>
      </w:r>
      <w:r>
        <w:rPr>
          <w:bCs/>
        </w:rPr>
        <w:t xml:space="preserve"> по соответствующим актам сдачи-приемки (Приложение № 5.1 к Договору);</w:t>
      </w:r>
    </w:p>
    <w:p>
      <w:pPr>
        <w:pStyle w:val="ListParagraph"/>
        <w:numPr>
          <w:ilvl w:val="0"/>
          <w:numId w:val="17"/>
        </w:numPr>
        <w:shd w:val="clear" w:color="auto" w:fill="FFFFFF"/>
        <w:tabs>
          <w:tab w:val="clear" w:pos="708"/>
          <w:tab w:val="left" w:pos="1418" w:leader="none"/>
        </w:tabs>
        <w:ind w:firstLine="709" w:left="0"/>
        <w:jc w:val="both"/>
        <w:rPr/>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pPr>
        <w:pStyle w:val="ListParagraph"/>
        <w:numPr>
          <w:ilvl w:val="2"/>
          <w:numId w:val="2"/>
        </w:numPr>
        <w:shd w:val="clear" w:color="auto" w:fill="FFFFFF"/>
        <w:tabs>
          <w:tab w:val="clear" w:pos="708"/>
          <w:tab w:val="left" w:pos="1418" w:leader="none"/>
        </w:tabs>
        <w:ind w:firstLine="567" w:left="0"/>
        <w:jc w:val="both"/>
        <w:rPr>
          <w:bCs/>
        </w:rPr>
      </w:pPr>
      <w:r>
        <w:rPr>
          <w:bCs/>
        </w:rPr>
        <w:t xml:space="preserve">При приемке места производства Работ, </w:t>
      </w:r>
      <w:r>
        <w:rPr>
          <w:bCs/>
          <w:highlight w:val="lightGray"/>
        </w:rPr>
        <w:t>места (помещения) для складирования материалов и Оборудования, а также оборудования и инструмента,</w:t>
      </w:r>
      <w:r>
        <w:rPr>
          <w:highlight w:val="lightGray"/>
        </w:rPr>
        <w:t xml:space="preserve"> которые не будут являться составной частью Результата работ</w:t>
      </w:r>
      <w:r>
        <w:rPr/>
        <w:t>,</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w:t>
        <w:br/>
        <w:t xml:space="preserve">и Оборудования, </w:t>
      </w:r>
      <w:r>
        <w:rPr>
          <w:bCs/>
          <w:highlight w:val="lightGray"/>
        </w:rPr>
        <w:t>или достижение Объектом Гарантированных показателей</w:t>
      </w:r>
      <w:r>
        <w:rPr>
          <w:bCs/>
        </w:rPr>
        <w:t xml:space="preserve">. </w:t>
      </w:r>
    </w:p>
    <w:p>
      <w:pPr>
        <w:pStyle w:val="ListParagraph"/>
        <w:shd w:val="clear" w:color="auto" w:fill="FFFFFF"/>
        <w:tabs>
          <w:tab w:val="clear" w:pos="708"/>
          <w:tab w:val="left" w:pos="1418" w:leader="none"/>
        </w:tabs>
        <w:ind w:firstLine="567" w:left="0"/>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708"/>
          <w:tab w:val="left" w:pos="1418" w:leader="none"/>
        </w:tabs>
        <w:ind w:firstLine="567" w:left="0"/>
        <w:jc w:val="both"/>
        <w:rPr>
          <w:bCs/>
        </w:rPr>
      </w:pPr>
      <w:r>
        <w:rPr>
          <w:bCs/>
        </w:rPr>
        <w:t xml:space="preserve">Выдать замечания в отношении технической и иной документации, предоставленной Заказчиком, в течение </w:t>
      </w:r>
      <w:r>
        <w:rPr>
          <w:bCs/>
          <w:highlight w:val="lightGray"/>
        </w:rPr>
        <w:t>5 (пяти)</w:t>
      </w:r>
      <w:r>
        <w:rPr>
          <w:bCs/>
        </w:rPr>
        <w:t xml:space="preserve">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708"/>
          <w:tab w:val="left" w:pos="1418" w:leader="none"/>
        </w:tabs>
        <w:ind w:firstLine="709" w:left="0"/>
        <w:jc w:val="both"/>
        <w:rPr>
          <w:bCs/>
        </w:rPr>
      </w:pPr>
      <w:r>
        <w:rPr>
          <w:bCs/>
        </w:rPr>
        <w:t>До фактического начала выполнения Работ предоставить Заказчику:</w:t>
      </w:r>
    </w:p>
    <w:p>
      <w:pPr>
        <w:pStyle w:val="ListParagraph"/>
        <w:numPr>
          <w:ilvl w:val="0"/>
          <w:numId w:val="13"/>
        </w:numPr>
        <w:shd w:val="clear" w:color="auto" w:fill="FFFFFF"/>
        <w:tabs>
          <w:tab w:val="clear" w:pos="708"/>
          <w:tab w:val="left" w:pos="1418" w:leader="none"/>
        </w:tabs>
        <w:ind w:firstLine="709" w:left="0"/>
        <w:jc w:val="both"/>
        <w:rPr>
          <w:bCs/>
        </w:rPr>
      </w:pPr>
      <w:r>
        <w:rPr>
          <w:bCs/>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3"/>
        </w:numPr>
        <w:shd w:val="clear" w:color="auto" w:fill="FFFFFF"/>
        <w:tabs>
          <w:tab w:val="clear" w:pos="708"/>
          <w:tab w:val="left" w:pos="709" w:leader="none"/>
        </w:tabs>
        <w:ind w:firstLine="709" w:left="0"/>
        <w:jc w:val="both"/>
        <w:rPr>
          <w:bCs/>
        </w:rPr>
      </w:pPr>
      <w:r>
        <w:rPr>
          <w:bCs/>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keepNext w:val="true"/>
        <w:keepLines/>
        <w:numPr>
          <w:ilvl w:val="0"/>
          <w:numId w:val="13"/>
        </w:numPr>
        <w:shd w:val="clear" w:color="auto" w:fill="FFFFFF"/>
        <w:tabs>
          <w:tab w:val="clear" w:pos="708"/>
          <w:tab w:val="left" w:pos="709" w:leader="none"/>
          <w:tab w:val="left" w:pos="1069" w:leader="none"/>
        </w:tabs>
        <w:ind w:firstLine="567" w:left="0"/>
        <w:jc w:val="both"/>
        <w:rPr>
          <w:b/>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5.1 к Договору) в соответствии с пунктами 2.1.2 и 2.1.3 Договора.</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firstLine="709" w:left="0"/>
        <w:jc w:val="both"/>
        <w:rPr/>
      </w:pPr>
      <w:r>
        <w:rPr/>
        <w:t xml:space="preserve">Обеспечить наличие допусков, разрешений и лицензий, необходимых </w:t>
        <w:br/>
        <w:t>для производства Работ.</w:t>
      </w:r>
    </w:p>
    <w:p>
      <w:pPr>
        <w:pStyle w:val="ListParagraph"/>
        <w:shd w:val="clear" w:color="auto" w:fill="FFFFFF"/>
        <w:tabs>
          <w:tab w:val="clear" w:pos="708"/>
          <w:tab w:val="left" w:pos="1418" w:leader="none"/>
        </w:tabs>
        <w:ind w:firstLine="709" w:left="0"/>
        <w:jc w:val="both"/>
        <w:rPr/>
      </w:pPr>
      <w:r>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br/>
        <w:t xml:space="preserve">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для надлежащего исполнения Подрядчиком своих обязательств по Договору</w:t>
      </w:r>
      <w:r>
        <w:rPr>
          <w:bCs/>
        </w:rPr>
        <w:t>, в том числе указанных в Приложении № 6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firstLine="709" w:left="0"/>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firstLine="709" w:left="0"/>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firstLine="709" w:left="0"/>
        <w:jc w:val="both"/>
        <w:rPr/>
      </w:pPr>
      <w:r>
        <w:rPr/>
        <w:t>Обеспечить:</w:t>
      </w:r>
    </w:p>
    <w:p>
      <w:pPr>
        <w:pStyle w:val="ListParagraph"/>
        <w:numPr>
          <w:ilvl w:val="0"/>
          <w:numId w:val="14"/>
        </w:numPr>
        <w:shd w:val="clear" w:color="auto" w:fill="FFFFFF"/>
        <w:tabs>
          <w:tab w:val="clear" w:pos="708"/>
          <w:tab w:val="left" w:pos="567" w:leader="none"/>
        </w:tabs>
        <w:ind w:firstLine="709" w:left="0"/>
        <w:jc w:val="both"/>
        <w:rPr>
          <w:bCs/>
        </w:rPr>
      </w:pPr>
      <w:r>
        <w:rPr>
          <w:bCs/>
        </w:rPr>
        <w:t xml:space="preserve">участие в саморегулируемой организации, основанной на членстве лиц, </w:t>
      </w:r>
      <w:r>
        <w:rPr>
          <w:highlight w:val="lightGray"/>
        </w:rPr>
        <w:t>выполняющих инженерные изыскания / подготовку проектной документации или / осуществляющих строительство</w:t>
      </w:r>
      <w:r>
        <w:rPr>
          <w:rStyle w:val="FootnoteReference"/>
          <w:highlight w:val="lightGray"/>
        </w:rPr>
        <w:footnoteReference w:id="4"/>
      </w:r>
      <w:r>
        <w:rPr>
          <w:bCs/>
        </w:rPr>
        <w:t xml:space="preserve"> (с учетом исключений, предусмотренных законодательством Российской Федерации</w:t>
      </w:r>
      <w:r>
        <w:rPr>
          <w:rStyle w:val="FootnoteReference"/>
          <w:bCs/>
        </w:rPr>
        <w:footnoteReference w:id="5"/>
      </w:r>
      <w:r>
        <w:rPr>
          <w:bCs/>
        </w:rPr>
        <w:t>);</w:t>
      </w:r>
    </w:p>
    <w:p>
      <w:pPr>
        <w:pStyle w:val="ListParagraph"/>
        <w:numPr>
          <w:ilvl w:val="0"/>
          <w:numId w:val="14"/>
        </w:numPr>
        <w:shd w:val="clear" w:color="auto" w:fill="FFFFFF"/>
        <w:tabs>
          <w:tab w:val="clear" w:pos="708"/>
          <w:tab w:val="left" w:pos="567" w:leader="none"/>
          <w:tab w:val="left" w:pos="1418" w:leader="none"/>
        </w:tabs>
        <w:ind w:firstLine="709" w:left="0"/>
        <w:jc w:val="both"/>
        <w:rPr>
          <w:bCs/>
        </w:rPr>
      </w:pPr>
      <w:r>
        <w:rPr>
          <w:bCs/>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4"/>
        </w:numPr>
        <w:tabs>
          <w:tab w:val="clear" w:pos="708"/>
          <w:tab w:val="left" w:pos="567" w:leader="none"/>
        </w:tabs>
        <w:ind w:firstLine="709" w:left="0"/>
        <w:jc w:val="both"/>
        <w:rPr>
          <w:bCs/>
        </w:rPr>
      </w:pPr>
      <w:r>
        <w:rPr>
          <w:bCs/>
        </w:rPr>
        <w:t xml:space="preserve">организацию выполнения Работ по Договору лицом (лицами), сведения </w:t>
        <w:br/>
        <w:t xml:space="preserve">о которых включены в </w:t>
      </w:r>
      <w:r>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Pr>
          <w:rStyle w:val="FootnoteReference"/>
          <w:bCs/>
          <w:highlight w:val="lightGray"/>
        </w:rPr>
        <w:footnoteReference w:id="6"/>
      </w:r>
      <w:r>
        <w:rPr>
          <w:bCs/>
        </w:rPr>
        <w:t>.</w:t>
      </w:r>
    </w:p>
    <w:p>
      <w:pPr>
        <w:pStyle w:val="ListParagraph"/>
        <w:numPr>
          <w:ilvl w:val="2"/>
          <w:numId w:val="2"/>
        </w:numPr>
        <w:shd w:val="clear" w:color="auto" w:fill="FFFFFF"/>
        <w:tabs>
          <w:tab w:val="clear" w:pos="708"/>
          <w:tab w:val="left" w:pos="1418" w:leader="none"/>
        </w:tabs>
        <w:ind w:firstLine="710" w:left="0"/>
        <w:jc w:val="both"/>
        <w:rPr>
          <w:bCs/>
        </w:rPr>
      </w:pPr>
      <w:r>
        <w:rPr/>
        <w:t>Выполнять</w:t>
      </w:r>
      <w:r>
        <w:rPr>
          <w:bCs/>
        </w:rPr>
        <w:t xml:space="preserve"> Работы силами квалифицированных специалистов (в том числе </w:t>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bCs/>
          <w:sz w:val="24"/>
        </w:rPr>
      </w:pPr>
      <w:r>
        <w:rPr>
          <w:bCs/>
          <w:sz w:val="24"/>
          <w:szCs w:val="23"/>
          <w:u w:val="none"/>
          <w:lang w:val="ru-RU" w:bidi="ar-SA"/>
        </w:rPr>
        <w:t xml:space="preserve">Не более чем за </w:t>
      </w:r>
      <w:r>
        <w:rPr>
          <w:bCs/>
          <w:sz w:val="24"/>
          <w:szCs w:val="23"/>
          <w:u w:val="none"/>
          <w:shd w:fill="auto" w:val="clear"/>
          <w:lang w:val="ru-RU" w:bidi="ar-SA"/>
        </w:rPr>
        <w:t>10</w:t>
      </w:r>
      <w:r>
        <w:rPr>
          <w:bCs/>
          <w:sz w:val="24"/>
          <w:szCs w:val="23"/>
          <w:u w:val="none"/>
          <w:lang w:val="ru-RU" w:bidi="ar-SA"/>
        </w:rPr>
        <w:t xml:space="preserve"> рабочих дня до начала выполнения работ (вида работ) Подрядчик обязан направить в адрес Заказчика </w:t>
      </w:r>
      <w:r>
        <w:rPr>
          <w:b/>
          <w:bCs/>
          <w:sz w:val="24"/>
          <w:szCs w:val="23"/>
          <w:u w:val="none"/>
          <w:lang w:val="ru-RU" w:bidi="ar-SA"/>
        </w:rPr>
        <w:t xml:space="preserve">уведомление о допуске персонала Подрядчика </w:t>
      </w:r>
      <w:r>
        <w:rPr>
          <w:b/>
          <w:bCs/>
          <w:sz w:val="24"/>
          <w:szCs w:val="23"/>
          <w:u w:val="none"/>
          <w:shd w:fill="FFFFFF" w:val="clear"/>
          <w:lang w:val="ru-RU" w:bidi="ar-SA"/>
        </w:rPr>
        <w:t>и/или</w:t>
      </w:r>
      <w:r>
        <w:rPr>
          <w:b/>
          <w:bCs/>
          <w:sz w:val="24"/>
          <w:szCs w:val="23"/>
          <w:u w:val="none"/>
          <w:lang w:val="ru-RU" w:bidi="ar-SA"/>
        </w:rPr>
        <w:t xml:space="preserve"> Субподрядчика к выполнению работ </w:t>
      </w:r>
      <w:r>
        <w:rPr>
          <w:bCs/>
          <w:sz w:val="24"/>
          <w:szCs w:val="23"/>
          <w:u w:val="none"/>
          <w:lang w:val="ru-RU" w:bidi="ar-SA"/>
        </w:rPr>
        <w:t xml:space="preserve">(вида работ) с указанием </w:t>
      </w:r>
      <w:r>
        <w:rPr>
          <w:bCs/>
          <w:sz w:val="24"/>
          <w:szCs w:val="23"/>
          <w:u w:val="none"/>
          <w:shd w:fill="FFFFFF" w:val="clear"/>
          <w:lang w:val="ru-RU" w:bidi="ar-SA"/>
        </w:rPr>
        <w:t>в нем</w:t>
      </w:r>
      <w:r>
        <w:rPr>
          <w:bCs/>
          <w:sz w:val="24"/>
          <w:szCs w:val="23"/>
          <w:u w:val="none"/>
          <w:lang w:val="ru-RU" w:bidi="ar-SA"/>
        </w:rPr>
        <w:t xml:space="preserve">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w:t>
      </w:r>
      <w:r>
        <w:rPr>
          <w:bCs/>
          <w:sz w:val="24"/>
          <w:szCs w:val="23"/>
          <w:u w:val="none"/>
          <w:shd w:fill="FFFFFF" w:val="clear"/>
          <w:lang w:val="ru-RU" w:bidi="ar-SA"/>
        </w:rPr>
        <w:t>и трудовых договоров,</w:t>
      </w:r>
      <w:r>
        <w:rPr>
          <w:bCs/>
          <w:sz w:val="24"/>
          <w:szCs w:val="23"/>
          <w:u w:val="none"/>
          <w:lang w:val="ru-RU" w:bidi="ar-SA"/>
        </w:rPr>
        <w:t xml:space="preserve"> </w:t>
      </w:r>
      <w:r>
        <w:rPr>
          <w:bCs/>
          <w:sz w:val="24"/>
          <w:szCs w:val="23"/>
          <w:u w:val="none"/>
          <w:shd w:fill="FFFFFF" w:val="clear"/>
          <w:lang w:val="ru-RU" w:bidi="ar-SA"/>
        </w:rPr>
        <w:t>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lang w:val="ru-RU" w:bidi="ar-SA"/>
        </w:rPr>
        <w:t>и иных документов, подтверждающих договорные отношения персонала с Подрядчиком</w:t>
      </w:r>
      <w:r>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bCs/>
          <w:sz w:val="24"/>
        </w:rPr>
      </w:pPr>
      <w:r>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2"/>
        </w:numPr>
        <w:shd w:val="clear" w:color="auto" w:fill="FFFFFF"/>
        <w:tabs>
          <w:tab w:val="clear" w:pos="708"/>
          <w:tab w:val="left" w:pos="1418" w:leader="none"/>
        </w:tabs>
        <w:ind w:firstLine="709" w:left="0"/>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2"/>
        </w:numPr>
        <w:shd w:val="clear" w:color="auto" w:fill="FFFFFF"/>
        <w:tabs>
          <w:tab w:val="clear" w:pos="708"/>
          <w:tab w:val="left" w:pos="1418" w:leader="none"/>
        </w:tabs>
        <w:ind w:firstLine="710" w:left="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firstLine="710" w:left="0"/>
        <w:jc w:val="both"/>
        <w:rPr>
          <w:bCs/>
        </w:rPr>
      </w:pPr>
      <w:r>
        <w:rPr>
          <w:bCs/>
        </w:rPr>
        <w:t xml:space="preserve">Подрядчик обязуется письменно согласовать с Заказчиком планируемые </w:t>
        <w:br/>
        <w:t>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708"/>
          <w:tab w:val="left" w:pos="1418" w:leader="none"/>
        </w:tabs>
        <w:ind w:firstLine="709" w:left="0"/>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firstLine="710" w:left="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br/>
        <w:t xml:space="preserve">и требований локальных нормативных актов Заказчика. </w:t>
      </w:r>
    </w:p>
    <w:p>
      <w:pPr>
        <w:pStyle w:val="ListParagraph"/>
        <w:numPr>
          <w:ilvl w:val="2"/>
          <w:numId w:val="2"/>
        </w:numPr>
        <w:shd w:val="clear" w:color="auto" w:fill="FFFFFF"/>
        <w:tabs>
          <w:tab w:val="clear" w:pos="708"/>
          <w:tab w:val="left" w:pos="1418" w:leader="none"/>
        </w:tabs>
        <w:ind w:firstLine="710" w:left="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 </w:t>
      </w:r>
      <w:r>
        <w:rPr>
          <w:bCs/>
        </w:rPr>
        <w:t xml:space="preserve">В случае применения контролирующими органами штрафных санкций </w:t>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firstLine="710" w:left="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firstLine="709" w:left="0"/>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8"/>
          <w:tab w:val="left" w:pos="1418" w:leader="none"/>
        </w:tabs>
        <w:spacing w:lineRule="auto" w:line="240"/>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2"/>
        </w:numPr>
        <w:shd w:val="clear" w:color="auto" w:fill="FFFFFF"/>
        <w:tabs>
          <w:tab w:val="clear" w:pos="708"/>
          <w:tab w:val="left" w:pos="1418" w:leader="none"/>
        </w:tabs>
        <w:ind w:firstLine="709" w:left="0"/>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8"/>
          <w:tab w:val="left" w:pos="1418" w:leader="none"/>
        </w:tabs>
        <w:ind w:firstLine="710" w:left="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2"/>
        </w:numPr>
        <w:shd w:val="clear" w:color="auto" w:fill="FFFFFF"/>
        <w:tabs>
          <w:tab w:val="clear" w:pos="708"/>
          <w:tab w:val="left" w:pos="1418" w:leader="none"/>
        </w:tabs>
        <w:ind w:firstLine="710" w:left="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w:t>
        <w:br/>
        <w:t xml:space="preserve">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br/>
        <w:t xml:space="preserve">о возможных негативных последствиях исполнения таких указаний в соответствии </w:t>
        <w:br/>
        <w:t xml:space="preserve">с пунктом 2.3.22.1 Договора. </w:t>
      </w:r>
    </w:p>
    <w:p>
      <w:pPr>
        <w:pStyle w:val="ListParagraph"/>
        <w:shd w:val="clear" w:color="auto" w:fill="FFFFFF"/>
        <w:tabs>
          <w:tab w:val="clear" w:pos="708"/>
          <w:tab w:val="left" w:pos="1418" w:leader="none"/>
        </w:tabs>
        <w:ind w:firstLine="709" w:left="0"/>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 </w:t>
      </w: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701" w:leader="none"/>
        </w:tabs>
        <w:ind w:firstLine="709" w:left="0"/>
        <w:jc w:val="both"/>
        <w:rPr>
          <w:bCs/>
        </w:rPr>
      </w:pPr>
      <w:r>
        <w:rPr>
          <w:bCs/>
        </w:rPr>
        <w:t xml:space="preserve">Возможных неблагоприятных для Заказчика последствий выполнения </w:t>
        <w:br/>
        <w:t xml:space="preserve">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701" w:leader="none"/>
        </w:tabs>
        <w:ind w:firstLine="709" w:left="0"/>
        <w:jc w:val="both"/>
        <w:rPr>
          <w:bCs/>
        </w:rPr>
      </w:pPr>
      <w:r>
        <w:rPr>
          <w:bCs/>
        </w:rPr>
        <w:t xml:space="preserve">Отклонения от требований действующих норм и правил, технической </w:t>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701" w:leader="none"/>
        </w:tabs>
        <w:ind w:firstLine="709" w:left="0"/>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firstLine="709" w:left="0"/>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 </w:t>
      </w:r>
      <w:r>
        <w:rPr>
          <w:bCs/>
        </w:rPr>
        <w:t>Письменно уведомлять</w:t>
      </w:r>
      <w:r>
        <w:rPr/>
        <w:t xml:space="preserve"> Заказчика о любых внеплановых событиях </w:t>
        <w:br/>
        <w:t>и происшествиях, возникших в ходе исполнения Договора, включая, но не ограничиваясь:</w:t>
      </w:r>
    </w:p>
    <w:p>
      <w:pPr>
        <w:pStyle w:val="ListParagraph"/>
        <w:numPr>
          <w:ilvl w:val="0"/>
          <w:numId w:val="15"/>
        </w:numPr>
        <w:ind w:firstLine="709" w:left="0" w:right="23"/>
        <w:jc w:val="both"/>
        <w:rPr/>
      </w:pPr>
      <w:r>
        <w:rPr/>
        <w:t>аварии – в течение 2 (двух) часов;</w:t>
      </w:r>
    </w:p>
    <w:p>
      <w:pPr>
        <w:pStyle w:val="ListParagraph"/>
        <w:numPr>
          <w:ilvl w:val="0"/>
          <w:numId w:val="15"/>
        </w:numPr>
        <w:ind w:firstLine="709" w:left="0" w:right="23"/>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5"/>
        </w:numPr>
        <w:ind w:firstLine="709" w:left="0" w:right="23"/>
        <w:jc w:val="both"/>
        <w:rPr/>
      </w:pPr>
      <w:r>
        <w:rPr/>
        <w:t>хищении и иных противоправных действиях – в течение 24 (двадцати четырех) часов;</w:t>
      </w:r>
    </w:p>
    <w:p>
      <w:pPr>
        <w:pStyle w:val="ListParagraph"/>
        <w:numPr>
          <w:ilvl w:val="0"/>
          <w:numId w:val="15"/>
        </w:numPr>
        <w:ind w:firstLine="709" w:left="0" w:right="23"/>
        <w:jc w:val="both"/>
        <w:rPr/>
      </w:pPr>
      <w: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15"/>
        </w:numPr>
        <w:ind w:firstLine="709" w:left="0" w:right="23"/>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5"/>
        </w:numPr>
        <w:ind w:firstLine="709" w:left="0" w:right="23"/>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firstLine="709" w:left="0"/>
        <w:jc w:val="both"/>
        <w:rPr/>
      </w:pPr>
      <w: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к Договору).</w:t>
      </w:r>
    </w:p>
    <w:p>
      <w:pPr>
        <w:pStyle w:val="ListParagraph"/>
        <w:numPr>
          <w:ilvl w:val="2"/>
          <w:numId w:val="2"/>
        </w:numPr>
        <w:shd w:val="clear" w:color="auto" w:fill="FFFFFF"/>
        <w:tabs>
          <w:tab w:val="clear" w:pos="708"/>
          <w:tab w:val="left" w:pos="1418" w:leader="none"/>
        </w:tabs>
        <w:ind w:firstLine="709" w:left="0"/>
        <w:jc w:val="both"/>
        <w:rPr/>
      </w:pPr>
      <w:r>
        <w:rPr/>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w:t>
        <w:br/>
        <w:t xml:space="preserve">в Гарантийный период, а также связанные с несогласованными с Заказчиком отступлениями </w:t>
        <w:br/>
        <w:t>от требований Договора.</w:t>
      </w:r>
    </w:p>
    <w:p>
      <w:pPr>
        <w:pStyle w:val="ListParagraph"/>
        <w:shd w:val="clear" w:color="auto" w:fill="FFFFFF"/>
        <w:tabs>
          <w:tab w:val="clear" w:pos="708"/>
          <w:tab w:val="left" w:pos="1418" w:leader="none"/>
        </w:tabs>
        <w:ind w:firstLine="709" w:left="0"/>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708"/>
          <w:tab w:val="left" w:pos="1418" w:leader="none"/>
        </w:tabs>
        <w:ind w:firstLine="709" w:left="0"/>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8"/>
          <w:tab w:val="left" w:pos="1418" w:leader="none"/>
        </w:tabs>
        <w:ind w:firstLine="709" w:left="0"/>
        <w:jc w:val="both"/>
        <w:rPr>
          <w:bCs/>
        </w:rPr>
      </w:pPr>
      <w:r>
        <w:rPr/>
        <w:t>Указанное уведомление должно быть получено Заказчиком заблаговременно</w:t>
      </w:r>
      <w:r>
        <w:rPr>
          <w:bCs/>
        </w:rPr>
        <w:t xml:space="preserve">, </w:t>
        <w:br/>
        <w:t xml:space="preserve">но не позднее, чем за </w:t>
      </w:r>
      <w:r>
        <w:rPr>
          <w:highlight w:val="lightGray"/>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widowControl/>
        <w:shd w:val="clear" w:color="auto" w:fill="FFFFFF"/>
        <w:tabs>
          <w:tab w:val="clear" w:pos="708"/>
          <w:tab w:val="left" w:pos="1418" w:leader="none"/>
        </w:tabs>
        <w:ind w:firstLine="709" w:left="0" w:right="0"/>
        <w:jc w:val="both"/>
        <w:rPr>
          <w:bCs/>
        </w:rPr>
      </w:pPr>
      <w:r>
        <w:rPr>
          <w:bCs/>
          <w:sz w:val="24"/>
          <w:szCs w:val="24"/>
          <w:shd w:fill="CCCCCC" w:val="clear"/>
          <w:lang w:val="ru-RU" w:bidi="ar-SA"/>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b w:val="false"/>
          <w:bCs w:val="false"/>
          <w:sz w:val="24"/>
          <w:szCs w:val="24"/>
          <w:shd w:fill="CCCCCC" w:val="clear"/>
          <w:lang w:val="ru-RU" w:bidi="ar-SA"/>
        </w:rPr>
        <w:t>представления и согласования исполнительной документации на выполненные работы в соответствии с Приложением №14 к настоящему Договору.</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Осуществлять мероприятия строительного контроля, возложенные </w:t>
        <w:b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br/>
        <w:t>от 21.06.2010 № 468.</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w:t>
        <w:b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br/>
        <w:t>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firstLine="709" w:left="0"/>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abs>
          <w:tab w:val="clear" w:pos="708"/>
          <w:tab w:val="left" w:pos="1418" w:leader="none"/>
        </w:tabs>
        <w:ind w:firstLine="710" w:left="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2"/>
        </w:numPr>
        <w:ind w:firstLine="709" w:left="0"/>
        <w:jc w:val="both"/>
        <w:rPr>
          <w:color w:val="000000"/>
        </w:rPr>
      </w:pPr>
      <w:r>
        <w:rPr>
          <w:color w:val="000000"/>
        </w:rPr>
        <w:t>Предоставить Заказчику банковские гарантии в соответствии с разделом 6 Договора.</w:t>
      </w:r>
    </w:p>
    <w:p>
      <w:pPr>
        <w:pStyle w:val="ListParagraph"/>
        <w:numPr>
          <w:ilvl w:val="2"/>
          <w:numId w:val="2"/>
        </w:numPr>
        <w:shd w:val="clear" w:color="auto" w:fill="FFFFFF"/>
        <w:tabs>
          <w:tab w:val="clear" w:pos="708"/>
          <w:tab w:val="left" w:pos="1418" w:leader="none"/>
        </w:tabs>
        <w:ind w:firstLine="709" w:left="0"/>
        <w:jc w:val="both"/>
        <w:rPr>
          <w:highlight w:val="white"/>
        </w:rPr>
      </w:pPr>
      <w:r>
        <w:rPr>
          <w:shd w:fill="FFFFFF"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
        </w:numPr>
        <w:shd w:val="clear" w:color="auto" w:fill="FFFFFF"/>
        <w:tabs>
          <w:tab w:val="clear" w:pos="708"/>
          <w:tab w:val="left" w:pos="1418" w:leader="none"/>
        </w:tabs>
        <w:ind w:firstLine="709" w:left="0"/>
        <w:jc w:val="both"/>
        <w:rPr/>
      </w:pPr>
      <w: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№13 к Договору.</w:t>
      </w:r>
    </w:p>
    <w:p>
      <w:pPr>
        <w:pStyle w:val="ListParagraph"/>
        <w:widowControl/>
        <w:numPr>
          <w:ilvl w:val="2"/>
          <w:numId w:val="2"/>
        </w:numPr>
        <w:shd w:val="clear" w:color="auto" w:fill="FFFFFF"/>
        <w:tabs>
          <w:tab w:val="clear" w:pos="708"/>
          <w:tab w:val="left" w:pos="1418" w:leader="none"/>
        </w:tabs>
        <w:suppressAutoHyphens w:val="true"/>
        <w:bidi w:val="0"/>
        <w:spacing w:lineRule="auto" w:line="240" w:before="0" w:after="0"/>
        <w:ind w:firstLine="680" w:left="0" w:right="0"/>
        <w:contextualSpacing/>
        <w:jc w:val="both"/>
        <w:rPr>
          <w:highlight w:val="none"/>
          <w:shd w:fill="auto" w:val="clear"/>
        </w:rPr>
      </w:pPr>
      <w:r>
        <w:rPr>
          <w:rFonts w:eastAsia="Calibri" w:cs="Times New Roman"/>
          <w:b w:val="false"/>
          <w:bCs w:val="false"/>
          <w:i w:val="false"/>
          <w:iCs w:val="false"/>
          <w:sz w:val="24"/>
          <w:szCs w:val="24"/>
          <w:shd w:fill="auto" w:val="clear"/>
          <w:lang w:val="ru-RU" w:eastAsia="en-US" w:bidi="ar-SA"/>
        </w:rPr>
        <w:t>Обеспечить своих работников, выполняющих работы на территории Заказчика, средствами индивидуальной защиты. Средства индивидуальной защиты (специальная одежда, каски) работников Подрядчика должны иметь специальные фирменные логотипы с указанием наименования Подрядчика.</w:t>
      </w:r>
    </w:p>
    <w:p>
      <w:pPr>
        <w:pStyle w:val="ListParagraph"/>
        <w:widowControl/>
        <w:numPr>
          <w:ilvl w:val="2"/>
          <w:numId w:val="2"/>
        </w:numPr>
        <w:shd w:val="clear" w:color="auto" w:fill="FFFFFF"/>
        <w:tabs>
          <w:tab w:val="clear" w:pos="708"/>
          <w:tab w:val="left" w:pos="1418" w:leader="none"/>
        </w:tabs>
        <w:suppressAutoHyphens w:val="true"/>
        <w:bidi w:val="0"/>
        <w:spacing w:lineRule="auto" w:line="240" w:before="0" w:after="0"/>
        <w:ind w:firstLine="680" w:left="0" w:right="0"/>
        <w:contextualSpacing/>
        <w:jc w:val="both"/>
        <w:rPr>
          <w:highlight w:val="none"/>
          <w:shd w:fill="auto" w:val="clear"/>
        </w:rPr>
      </w:pPr>
      <w:r>
        <w:rPr>
          <w:rFonts w:eastAsia="Calibri" w:cs="Times New Roman" w:ascii="Liberation Serif" w:hAnsi="Liberation Serif"/>
          <w:b w:val="false"/>
          <w:bCs w:val="false"/>
          <w:i w:val="false"/>
          <w:iCs w:val="false"/>
          <w:caps w:val="false"/>
          <w:smallCaps w:val="false"/>
          <w:sz w:val="24"/>
          <w:szCs w:val="24"/>
          <w:shd w:fill="auto" w:val="clear"/>
          <w:lang w:val="ru-RU" w:eastAsia="en-US" w:bidi="ar-SA"/>
        </w:rPr>
        <w:t>В течение 3 (трех) календарных дней с момента согласования Заказчиком ППР, включая детализированный календарный график работ, предоставить Заказчику оферту дополнительного соглашения, предусматривающую уточнение (корректировку) Календарного графика (Приложение №2 к Договору) на основании согласованного Сторонами ППР.</w:t>
      </w:r>
    </w:p>
    <w:p>
      <w:pPr>
        <w:pStyle w:val="ListParagraph"/>
        <w:numPr>
          <w:ilvl w:val="2"/>
          <w:numId w:val="2"/>
        </w:numPr>
        <w:shd w:val="clear" w:color="auto" w:fill="FFFFFF"/>
        <w:tabs>
          <w:tab w:val="clear" w:pos="708"/>
          <w:tab w:val="left" w:pos="1418" w:leader="none"/>
        </w:tabs>
        <w:ind w:firstLine="709" w:left="0"/>
        <w:jc w:val="both"/>
        <w:rPr/>
      </w:pPr>
      <w:r>
        <w:rPr/>
        <w:t xml:space="preserve">Исполнять </w:t>
      </w:r>
      <w:r>
        <w:rPr>
          <w:shd w:fill="auto" w:val="clear"/>
        </w:rPr>
        <w:t xml:space="preserve">иные обязанности, предусмотренные Договором и </w:t>
      </w:r>
      <w:r>
        <w:rPr>
          <w:bCs/>
          <w:shd w:fill="auto" w:val="clear"/>
        </w:rPr>
        <w:t>законодательством Российской Федерации.</w:t>
      </w:r>
      <w:r>
        <w:rPr>
          <w:shd w:fill="auto" w:val="clear"/>
        </w:rPr>
        <w:t xml:space="preserve"> </w:t>
      </w:r>
    </w:p>
    <w:p>
      <w:pPr>
        <w:pStyle w:val="Normal"/>
        <w:widowControl/>
        <w:bidi w:val="0"/>
        <w:spacing w:lineRule="auto" w:line="240" w:before="0" w:after="0"/>
        <w:ind w:firstLine="510" w:left="113" w:right="113"/>
        <w:jc w:val="both"/>
        <w:rPr>
          <w:highlight w:val="none"/>
          <w:shd w:fill="auto" w:val="clear"/>
        </w:rPr>
      </w:pPr>
      <w:r>
        <w:rPr>
          <w:b/>
          <w:bCs/>
          <w:i w:val="false"/>
          <w:iCs w:val="false"/>
          <w:sz w:val="24"/>
          <w:szCs w:val="24"/>
          <w:shd w:fill="auto" w:val="clear"/>
        </w:rPr>
        <w:t>2.3.36.</w:t>
      </w:r>
      <w:r>
        <w:rPr>
          <w:b w:val="false"/>
          <w:bCs w:val="false"/>
          <w:i w:val="false"/>
          <w:iCs w:val="false"/>
          <w:sz w:val="24"/>
          <w:szCs w:val="24"/>
          <w:shd w:fill="auto" w:val="clear"/>
        </w:rPr>
        <w:t xml:space="preserve"> Соблюдать требования, установленные в Техническом задании (Приложение №1), в том числе о </w:t>
      </w:r>
      <w:r>
        <w:rPr>
          <w:b w:val="false"/>
          <w:bCs/>
          <w:i w:val="false"/>
          <w:iCs w:val="false"/>
          <w:sz w:val="24"/>
          <w:szCs w:val="24"/>
          <w:shd w:fill="auto" w:val="clear"/>
        </w:rPr>
        <w:t xml:space="preserve">наличии </w:t>
      </w:r>
      <w:r>
        <w:rPr>
          <w:b w:val="false"/>
          <w:bCs w:val="false"/>
          <w:i w:val="false"/>
          <w:iCs w:val="false"/>
          <w:sz w:val="24"/>
          <w:szCs w:val="24"/>
          <w:shd w:fill="auto" w:val="clear"/>
        </w:rPr>
        <w:t>необходимых для выполнения работ кадровых ресурсов (персонала), техники и материально-технических ресурсов.</w:t>
      </w:r>
    </w:p>
    <w:p>
      <w:pPr>
        <w:pStyle w:val="BodyText"/>
        <w:widowControl/>
        <w:bidi w:val="0"/>
        <w:spacing w:lineRule="auto" w:line="240" w:before="0" w:after="0"/>
        <w:ind w:firstLine="510" w:left="113" w:right="113"/>
        <w:jc w:val="both"/>
        <w:rPr>
          <w:highlight w:val="none"/>
          <w:shd w:fill="auto" w:val="clear"/>
        </w:rPr>
      </w:pPr>
      <w:r>
        <w:rPr>
          <w:b/>
          <w:bCs/>
          <w:i w:val="false"/>
          <w:iCs w:val="false"/>
          <w:caps w:val="false"/>
          <w:smallCaps w:val="false"/>
          <w:sz w:val="24"/>
          <w:szCs w:val="24"/>
          <w:shd w:fill="auto" w:val="clear"/>
        </w:rPr>
        <w:t xml:space="preserve">2.3.37. </w:t>
      </w:r>
      <w:r>
        <w:rPr>
          <w:b w:val="false"/>
          <w:bCs w:val="false"/>
          <w:i w:val="false"/>
          <w:iCs w:val="false"/>
          <w:caps w:val="false"/>
          <w:smallCaps w:val="false"/>
          <w:sz w:val="24"/>
          <w:szCs w:val="24"/>
          <w:shd w:fill="auto" w:val="clear"/>
        </w:rPr>
        <w:t xml:space="preserve">В течение 5 (пяти) рабочих дней с момента заключения договора, а также в случае получения требования Заказчика, указанного в п.2.2.9 Договора, предоставить Заказчику полную информацию о </w:t>
      </w:r>
      <w:r>
        <w:rPr>
          <w:b w:val="false"/>
          <w:bCs/>
          <w:i w:val="false"/>
          <w:iCs w:val="false"/>
          <w:caps w:val="false"/>
          <w:smallCaps w:val="false"/>
          <w:sz w:val="24"/>
          <w:szCs w:val="24"/>
          <w:shd w:fill="auto" w:val="clear"/>
        </w:rPr>
        <w:t xml:space="preserve">наличии </w:t>
      </w:r>
      <w:r>
        <w:rPr>
          <w:b w:val="false"/>
          <w:bCs w:val="false"/>
          <w:i w:val="false"/>
          <w:iCs w:val="false"/>
          <w:caps w:val="false"/>
          <w:smallCaps w:val="false"/>
          <w:sz w:val="24"/>
          <w:szCs w:val="24"/>
          <w:shd w:fill="auto"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 в том числе указанных в требовании Заказчика.</w:t>
      </w:r>
    </w:p>
    <w:p>
      <w:pPr>
        <w:pStyle w:val="BodyText"/>
        <w:widowControl/>
        <w:bidi w:val="0"/>
        <w:spacing w:lineRule="auto" w:line="240" w:before="0" w:after="0"/>
        <w:ind w:firstLine="510" w:left="113" w:right="113"/>
        <w:jc w:val="both"/>
        <w:rPr>
          <w:b w:val="false"/>
          <w:bCs w:val="false"/>
          <w:i w:val="false"/>
          <w:i w:val="false"/>
          <w:iCs w:val="false"/>
          <w:caps w:val="false"/>
          <w:smallCaps w:val="false"/>
        </w:rPr>
      </w:pPr>
      <w:r>
        <w:rPr>
          <w:b w:val="false"/>
          <w:bCs w:val="false"/>
          <w:i w:val="false"/>
          <w:iCs w:val="false"/>
          <w:caps w:val="false"/>
          <w:smallCaps w:val="false"/>
        </w:rPr>
      </w:r>
    </w:p>
    <w:p>
      <w:pPr>
        <w:pStyle w:val="ListParagraph"/>
        <w:numPr>
          <w:ilvl w:val="1"/>
          <w:numId w:val="2"/>
        </w:numPr>
        <w:shd w:val="clear" w:color="auto" w:fill="FFFFFF"/>
        <w:tabs>
          <w:tab w:val="clear" w:pos="708"/>
          <w:tab w:val="left" w:pos="1134" w:leader="none"/>
        </w:tabs>
        <w:ind w:firstLine="709" w:left="0"/>
        <w:jc w:val="both"/>
        <w:rPr>
          <w:bCs/>
        </w:rPr>
      </w:pPr>
      <w:r>
        <w:rPr>
          <w:bCs/>
          <w:u w:val="single"/>
        </w:rPr>
        <w:t>Подрядчик имеет право</w:t>
      </w:r>
      <w:r>
        <w:rPr>
          <w:bCs/>
        </w:rPr>
        <w:t>:</w:t>
      </w:r>
    </w:p>
    <w:p>
      <w:pPr>
        <w:pStyle w:val="ListParagraph"/>
        <w:numPr>
          <w:ilvl w:val="2"/>
          <w:numId w:val="2"/>
        </w:numPr>
        <w:shd w:val="clear" w:color="auto" w:fill="FFFFFF"/>
        <w:tabs>
          <w:tab w:val="clear" w:pos="708"/>
          <w:tab w:val="left" w:pos="1418" w:leader="none"/>
        </w:tabs>
        <w:ind w:firstLine="709" w:left="0"/>
        <w:jc w:val="both"/>
        <w:rPr>
          <w:bCs/>
        </w:rPr>
      </w:pPr>
      <w:r>
        <w:rPr>
          <w:bCs/>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При необходимости по предварительному письменному согласованию </w:t>
        <w:br/>
        <w:t>с Заказчиком заключать договоры субподряда в совокупности не более чем на 50</w:t>
      </w:r>
      <w:r>
        <w:rPr>
          <w:bCs/>
          <w:shd w:fill="CCCCCC" w:val="clear"/>
        </w:rPr>
        <w:t xml:space="preserve"> (пятьдесят) процентов </w:t>
      </w:r>
      <w:r>
        <w:rPr>
          <w:rStyle w:val="FootnoteReference"/>
          <w:bCs/>
          <w:shd w:fill="CCCCCC" w:val="clear"/>
        </w:rPr>
        <w:footnoteReference w:id="7"/>
      </w:r>
      <w:r>
        <w:rPr>
          <w:bCs/>
          <w:shd w:fill="CCCCCC" w:val="clear"/>
        </w:rPr>
        <w:t xml:space="preserve"> </w:t>
      </w:r>
      <w:r>
        <w:rPr>
          <w:bCs/>
        </w:rPr>
        <w:t xml:space="preserve">от Цены Договора, неся при этом ответственность за действия Субподрядчиков, как за свои собственные. </w:t>
      </w:r>
    </w:p>
    <w:p>
      <w:pPr>
        <w:pStyle w:val="Normal"/>
        <w:shd w:val="clear" w:fill="FFFFFF"/>
        <w:tabs>
          <w:tab w:val="clear" w:pos="708"/>
          <w:tab w:val="left" w:pos="1418" w:leader="none"/>
        </w:tabs>
        <w:spacing w:lineRule="auto" w:line="240"/>
        <w:ind w:firstLine="709" w:left="0" w:right="0"/>
        <w:jc w:val="both"/>
        <w:rPr>
          <w:rFonts w:ascii="Times New Roman" w:hAnsi="Times New Roman"/>
          <w:bCs/>
          <w:sz w:val="24"/>
          <w:szCs w:val="24"/>
        </w:rPr>
      </w:pPr>
      <w:r>
        <w:rPr>
          <w:bCs/>
          <w:sz w:val="24"/>
          <w:szCs w:val="24"/>
        </w:rPr>
        <w:t xml:space="preserve">При согласовании привлечения Субподрядчика Подрядчик представляет Заказчику: </w:t>
      </w:r>
    </w:p>
    <w:p>
      <w:pPr>
        <w:pStyle w:val="ListParagraph"/>
        <w:numPr>
          <w:ilvl w:val="0"/>
          <w:numId w:val="18"/>
        </w:numPr>
        <w:shd w:val="clear" w:fill="FFFFFF"/>
        <w:tabs>
          <w:tab w:val="clear" w:pos="708"/>
          <w:tab w:val="left" w:pos="1022" w:leader="none"/>
        </w:tabs>
        <w:spacing w:lineRule="auto" w:line="240"/>
        <w:ind w:firstLine="709" w:left="0" w:right="0"/>
        <w:jc w:val="both"/>
        <w:rPr>
          <w:rFonts w:ascii="Times New Roman" w:hAnsi="Times New Roman"/>
          <w:bCs/>
          <w:sz w:val="24"/>
          <w:szCs w:val="24"/>
        </w:rPr>
      </w:pPr>
      <w:r>
        <w:rPr>
          <w:bCs/>
          <w:sz w:val="24"/>
          <w:szCs w:val="24"/>
        </w:rPr>
        <w:t xml:space="preserve">проект договора с Субподрядчиком; </w:t>
      </w:r>
    </w:p>
    <w:p>
      <w:pPr>
        <w:pStyle w:val="ListParagraph"/>
        <w:numPr>
          <w:ilvl w:val="0"/>
          <w:numId w:val="18"/>
        </w:numPr>
        <w:shd w:val="clear" w:fill="FFFFFF"/>
        <w:tabs>
          <w:tab w:val="clear" w:pos="708"/>
          <w:tab w:val="left" w:pos="1022" w:leader="none"/>
        </w:tabs>
        <w:spacing w:lineRule="auto" w:line="240"/>
        <w:ind w:firstLine="709" w:left="0" w:right="0"/>
        <w:jc w:val="both"/>
        <w:rPr>
          <w:rFonts w:ascii="Times New Roman" w:hAnsi="Times New Roman"/>
          <w:bCs/>
          <w:sz w:val="24"/>
          <w:szCs w:val="24"/>
        </w:rPr>
      </w:pPr>
      <w:r>
        <w:rPr>
          <w:bCs/>
          <w:sz w:val="24"/>
          <w:szCs w:val="24"/>
        </w:rPr>
        <w:t xml:space="preserve">сведения об объемах выполнения работ Субподрядчиком; </w:t>
      </w:r>
    </w:p>
    <w:p>
      <w:pPr>
        <w:pStyle w:val="ListParagraph"/>
        <w:numPr>
          <w:ilvl w:val="0"/>
          <w:numId w:val="18"/>
        </w:numPr>
        <w:shd w:val="clear" w:fill="FFFFFF"/>
        <w:tabs>
          <w:tab w:val="clear" w:pos="708"/>
          <w:tab w:val="left" w:pos="1022" w:leader="none"/>
        </w:tabs>
        <w:spacing w:lineRule="auto" w:line="240" w:before="0" w:after="160"/>
        <w:ind w:firstLine="709" w:left="0" w:right="0"/>
        <w:contextualSpacing/>
        <w:jc w:val="both"/>
        <w:rPr>
          <w:rFonts w:ascii="Times New Roman" w:hAnsi="Times New Roman"/>
          <w:sz w:val="24"/>
          <w:szCs w:val="24"/>
        </w:rPr>
      </w:pPr>
      <w:r>
        <w:rPr>
          <w:bCs/>
          <w:sz w:val="24"/>
          <w:szCs w:val="24"/>
        </w:rPr>
        <w:t xml:space="preserve">пофамильный перечень персонала Субподрядчика, который будет задействован при производстве работ </w:t>
      </w:r>
      <w:r>
        <w:rPr>
          <w:sz w:val="24"/>
          <w:szCs w:val="24"/>
        </w:rPr>
        <w:t xml:space="preserve">с указанием их паспортных данных, </w:t>
      </w:r>
      <w:r>
        <w:rPr>
          <w:bCs/>
          <w:sz w:val="24"/>
          <w:szCs w:val="24"/>
          <w:shd w:fill="FFFFFF" w:val="clear"/>
        </w:rPr>
        <w:t>г</w:t>
      </w:r>
      <w:r>
        <w:rPr>
          <w:bCs/>
          <w:sz w:val="24"/>
          <w:szCs w:val="23"/>
          <w:u w:val="none"/>
          <w:shd w:fill="FFFFFF" w:val="clear"/>
          <w:lang w:val="ru-RU" w:bidi="ar-SA"/>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shd w:fill="FFFFFF" w:val="clear"/>
          <w:lang w:val="ru-RU" w:bidi="ar-SA"/>
        </w:rPr>
        <w:t>и иных документов, подтверждающих договорные отношения персонала с Субподрядчиком;</w:t>
      </w:r>
    </w:p>
    <w:p>
      <w:pPr>
        <w:pStyle w:val="ListParagraph"/>
        <w:widowControl/>
        <w:numPr>
          <w:ilvl w:val="0"/>
          <w:numId w:val="18"/>
        </w:numPr>
        <w:shd w:val="clear" w:color="auto" w:fill="FFFFFF"/>
        <w:bidi w:val="0"/>
        <w:spacing w:lineRule="auto" w:line="240" w:before="60" w:after="0"/>
        <w:ind w:firstLine="709" w:left="0" w:right="0"/>
        <w:contextualSpacing/>
        <w:jc w:val="both"/>
        <w:rPr>
          <w:rFonts w:ascii="Times New Roman" w:hAnsi="Times New Roman"/>
          <w:bCs/>
          <w:sz w:val="24"/>
          <w:szCs w:val="24"/>
          <w:u w:val="none"/>
          <w:lang w:val="ru-RU" w:bidi="ar-SA"/>
        </w:rPr>
      </w:pPr>
      <w:r>
        <w:rPr>
          <w:bCs/>
          <w:sz w:val="24"/>
          <w:szCs w:val="24"/>
          <w:u w:val="none"/>
          <w:lang w:val="ru-RU" w:bidi="ar-SA"/>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Normal"/>
        <w:shd w:val="clear" w:color="auto" w:fill="FFFFFF"/>
        <w:tabs>
          <w:tab w:val="clear" w:pos="708"/>
          <w:tab w:val="left" w:pos="709" w:leader="none"/>
        </w:tabs>
        <w:spacing w:lineRule="auto" w:line="240"/>
        <w:rPr>
          <w:bCs/>
          <w:sz w:val="24"/>
          <w:szCs w:val="24"/>
        </w:rPr>
      </w:pPr>
      <w:r>
        <w:rPr>
          <w:bCs/>
          <w:sz w:val="24"/>
          <w:szCs w:val="24"/>
        </w:rPr>
      </w:r>
    </w:p>
    <w:p>
      <w:pPr>
        <w:pStyle w:val="ListParagraph"/>
        <w:numPr>
          <w:ilvl w:val="1"/>
          <w:numId w:val="20"/>
        </w:numPr>
        <w:shd w:val="clear" w:color="auto" w:fill="FFFFFF"/>
        <w:tabs>
          <w:tab w:val="clear" w:pos="708"/>
          <w:tab w:val="left" w:pos="851" w:leader="none"/>
          <w:tab w:val="left" w:pos="1134" w:leader="none"/>
        </w:tabs>
        <w:ind w:firstLine="709" w:left="0"/>
        <w:jc w:val="both"/>
        <w:rPr>
          <w:bCs/>
          <w:highlight w:val="lightGray"/>
        </w:rPr>
      </w:pPr>
      <w:r>
        <w:rPr>
          <w:bCs/>
          <w:highlight w:val="lightGray"/>
        </w:rPr>
        <w:t>Иные права и обязанности Сторон:</w:t>
      </w:r>
    </w:p>
    <w:p>
      <w:pPr>
        <w:pStyle w:val="ListParagraph"/>
        <w:numPr>
          <w:ilvl w:val="2"/>
          <w:numId w:val="20"/>
        </w:numPr>
        <w:shd w:val="clear" w:color="auto" w:fill="FFFFFF"/>
        <w:tabs>
          <w:tab w:val="clear" w:pos="708"/>
          <w:tab w:val="left" w:pos="851" w:leader="none"/>
          <w:tab w:val="left" w:pos="1418" w:leader="none"/>
        </w:tabs>
        <w:ind w:firstLine="709" w:left="0"/>
        <w:jc w:val="both"/>
        <w:rPr>
          <w:bCs/>
          <w:highlight w:val="lightGray"/>
        </w:rPr>
      </w:pPr>
      <w:r>
        <w:rPr>
          <w:bCs/>
          <w:highlight w:val="lightGray"/>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15 к Договору).</w:t>
      </w:r>
    </w:p>
    <w:p>
      <w:pPr>
        <w:pStyle w:val="Normal"/>
        <w:tabs>
          <w:tab w:val="clear" w:pos="708"/>
          <w:tab w:val="left" w:pos="851" w:leader="none"/>
        </w:tabs>
        <w:spacing w:lineRule="auto" w:line="240"/>
        <w:ind w:firstLine="709"/>
        <w:rPr>
          <w:sz w:val="24"/>
          <w:szCs w:val="24"/>
        </w:rPr>
      </w:pPr>
      <w:r>
        <w:rPr>
          <w:sz w:val="24"/>
          <w:szCs w:val="24"/>
        </w:rPr>
      </w:r>
    </w:p>
    <w:p>
      <w:pPr>
        <w:pStyle w:val="ListParagraph"/>
        <w:shd w:val="clear" w:color="auto" w:fill="FFFFFF"/>
        <w:tabs>
          <w:tab w:val="clear" w:pos="708"/>
          <w:tab w:val="left" w:pos="1418" w:leader="none"/>
        </w:tabs>
        <w:ind w:firstLine="426" w:left="0"/>
        <w:jc w:val="both"/>
        <w:rPr/>
      </w:pPr>
      <w:r>
        <w:rPr/>
      </w:r>
    </w:p>
    <w:p>
      <w:pPr>
        <w:pStyle w:val="ListParagraph"/>
        <w:numPr>
          <w:ilvl w:val="0"/>
          <w:numId w:val="2"/>
        </w:numPr>
        <w:shd w:val="clear" w:color="auto" w:fill="FFFFFF"/>
        <w:tabs>
          <w:tab w:val="clear" w:pos="708"/>
          <w:tab w:val="left" w:pos="284" w:leader="none"/>
        </w:tabs>
        <w:ind w:hanging="0" w:left="0"/>
        <w:jc w:val="center"/>
        <w:rPr/>
      </w:pPr>
      <w:r>
        <w:rPr>
          <w:b/>
          <w:bCs/>
        </w:rPr>
        <w:t>Цена Договора и порядок расчетов</w:t>
      </w:r>
    </w:p>
    <w:p>
      <w:pPr>
        <w:pStyle w:val="ListParagraph"/>
        <w:numPr>
          <w:ilvl w:val="1"/>
          <w:numId w:val="2"/>
        </w:numPr>
        <w:shd w:val="clear" w:color="auto" w:fill="FFFFFF"/>
        <w:tabs>
          <w:tab w:val="clear" w:pos="708"/>
          <w:tab w:val="left" w:pos="1134" w:leader="none"/>
        </w:tabs>
        <w:ind w:firstLine="709" w:left="0"/>
        <w:jc w:val="both"/>
        <w:rPr>
          <w:b w:val="false"/>
          <w:bCs w:val="false"/>
        </w:rPr>
      </w:pPr>
      <w:r>
        <w:rPr>
          <w:b w:val="false"/>
          <w:bCs w:val="false"/>
        </w:rPr>
        <w:t xml:space="preserve">Цена Договора в соответствии со Сводным сметным расчетом / Объектным сметным расчетом с приложениями (Приложение № 3 к Договору) является </w:t>
      </w:r>
      <w:r>
        <w:rPr>
          <w:b w:val="false"/>
          <w:bCs w:val="false"/>
          <w:shd w:fill="auto" w:val="clear"/>
        </w:rPr>
        <w:t>предельной</w:t>
      </w:r>
      <w:r>
        <w:rPr>
          <w:b w:val="false"/>
          <w:bCs w:val="false"/>
        </w:rPr>
        <w:t xml:space="preserve"> и составляет </w:t>
      </w:r>
      <w:r>
        <w:rPr>
          <w:b w:val="false"/>
          <w:bCs w:val="false"/>
        </w:rPr>
        <w:t>_____________________</w:t>
      </w:r>
      <w:r>
        <w:rPr>
          <w:b w:val="false"/>
          <w:bCs w:val="false"/>
          <w:i/>
          <w:iCs/>
          <w:shd w:fill="auto" w:val="clear"/>
        </w:rPr>
        <w:t xml:space="preserve"> (</w:t>
      </w:r>
      <w:r>
        <w:rPr>
          <w:b w:val="false"/>
          <w:bCs w:val="false"/>
          <w:i/>
          <w:iCs/>
          <w:shd w:fill="auto" w:val="clear"/>
        </w:rPr>
        <w:t>___________</w:t>
      </w:r>
      <w:r>
        <w:rPr>
          <w:b w:val="false"/>
          <w:bCs w:val="false"/>
          <w:i/>
          <w:iCs/>
          <w:shd w:fill="auto" w:val="clear"/>
        </w:rPr>
        <w:t xml:space="preserve">) рубля </w:t>
      </w:r>
      <w:r>
        <w:rPr>
          <w:b w:val="false"/>
          <w:bCs w:val="false"/>
          <w:i/>
          <w:iCs/>
          <w:shd w:fill="auto" w:val="clear"/>
        </w:rPr>
        <w:t>____</w:t>
      </w:r>
      <w:r>
        <w:rPr>
          <w:b w:val="false"/>
          <w:bCs w:val="false"/>
          <w:i/>
          <w:iCs/>
          <w:shd w:fill="auto" w:val="clear"/>
        </w:rPr>
        <w:t xml:space="preserve"> </w:t>
      </w:r>
      <w:r>
        <w:rPr>
          <w:b w:val="false"/>
          <w:bCs w:val="false"/>
          <w:i/>
          <w:iCs/>
        </w:rPr>
        <w:t xml:space="preserve">копейки </w:t>
      </w:r>
      <w:r>
        <w:rPr>
          <w:b w:val="false"/>
          <w:bCs w:val="false"/>
        </w:rPr>
        <w:t>без учета НДС, при этом НДС исчисляется дополнительно по ставке, установленной статьей 164</w:t>
      </w:r>
      <w:r>
        <w:rPr>
          <w:b w:val="false"/>
          <w:bCs w:val="false"/>
          <w:shd w:fill="auto" w:val="clear"/>
        </w:rPr>
        <w:t xml:space="preserve"> Налогового кодекса Российской Федерации (далее – «НК РФ»). </w:t>
      </w:r>
    </w:p>
    <w:p>
      <w:pPr>
        <w:pStyle w:val="ListParagraph"/>
        <w:numPr>
          <w:ilvl w:val="2"/>
          <w:numId w:val="2"/>
        </w:numPr>
        <w:shd w:val="clear" w:color="auto" w:fill="FFFFFF"/>
        <w:tabs>
          <w:tab w:val="clear" w:pos="708"/>
          <w:tab w:val="left" w:pos="1418" w:leader="none"/>
        </w:tabs>
        <w:ind w:firstLine="709" w:left="0"/>
        <w:jc w:val="both"/>
        <w:rPr>
          <w:b w:val="false"/>
          <w:bCs w:val="false"/>
        </w:rPr>
      </w:pPr>
      <w:r>
        <w:rPr>
          <w:b w:val="false"/>
          <w:bCs w:val="false"/>
          <w:shd w:fill="auto" w:val="clear"/>
        </w:rPr>
        <w:t xml:space="preserve">Предельная цена на Проектные работы составляет </w:t>
      </w:r>
      <w:r>
        <w:rPr>
          <w:b w:val="false"/>
          <w:bCs w:val="false"/>
          <w:shd w:fill="auto" w:val="clear"/>
        </w:rPr>
        <w:t>_________</w:t>
      </w:r>
      <w:r>
        <w:rPr>
          <w:b w:val="false"/>
          <w:bCs w:val="false"/>
          <w:i/>
          <w:iCs/>
          <w:shd w:fill="auto" w:val="clear"/>
        </w:rPr>
        <w:t xml:space="preserve"> (</w:t>
      </w:r>
      <w:r>
        <w:rPr>
          <w:b w:val="false"/>
          <w:bCs w:val="false"/>
          <w:i/>
          <w:iCs/>
          <w:shd w:fill="auto" w:val="clear"/>
        </w:rPr>
        <w:t>___________</w:t>
      </w:r>
      <w:r>
        <w:rPr>
          <w:b w:val="false"/>
          <w:bCs w:val="false"/>
          <w:i/>
          <w:iCs/>
          <w:shd w:fill="auto" w:val="clear"/>
        </w:rPr>
        <w:t xml:space="preserve">) рубля </w:t>
      </w:r>
      <w:r>
        <w:rPr>
          <w:b w:val="false"/>
          <w:bCs w:val="false"/>
          <w:i/>
          <w:iCs/>
          <w:shd w:fill="auto" w:val="clear"/>
        </w:rPr>
        <w:t>____</w:t>
      </w:r>
      <w:r>
        <w:rPr>
          <w:b w:val="false"/>
          <w:bCs w:val="false"/>
          <w:i/>
          <w:iCs/>
          <w:shd w:fill="auto" w:val="clear"/>
        </w:rPr>
        <w:t xml:space="preserve"> копеек</w:t>
      </w:r>
      <w:r>
        <w:rPr>
          <w:b w:val="false"/>
          <w:bCs w:val="false"/>
          <w:shd w:fill="auto" w:val="clear"/>
        </w:rPr>
        <w:t xml:space="preserve"> </w:t>
      </w:r>
      <w:r>
        <w:rPr>
          <w:b w:val="false"/>
          <w:bCs w:val="false"/>
        </w:rPr>
        <w:t>без учета НДС, при этом НДС исчисляется дополнительно по ставке, установленной статьей 164 НК РФ;</w:t>
      </w:r>
    </w:p>
    <w:p>
      <w:pPr>
        <w:pStyle w:val="ListParagraph"/>
        <w:numPr>
          <w:ilvl w:val="2"/>
          <w:numId w:val="2"/>
        </w:numPr>
        <w:shd w:val="clear" w:color="auto" w:fill="FFFFFF"/>
        <w:tabs>
          <w:tab w:val="clear" w:pos="708"/>
          <w:tab w:val="left" w:pos="1418" w:leader="none"/>
        </w:tabs>
        <w:ind w:firstLine="709" w:left="0"/>
        <w:jc w:val="both"/>
        <w:rPr>
          <w:b w:val="false"/>
          <w:bCs w:val="false"/>
        </w:rPr>
      </w:pPr>
      <w:r>
        <w:rPr>
          <w:b w:val="false"/>
          <w:bCs w:val="false"/>
          <w:shd w:fill="auto" w:val="clear"/>
        </w:rPr>
        <w:t xml:space="preserve">Предельная  цена Работ (без учета Проектных работ, Лимита на непредвиденные работы и затраты) составляет </w:t>
      </w:r>
      <w:r>
        <w:rPr>
          <w:b w:val="false"/>
          <w:bCs w:val="false"/>
          <w:shd w:fill="auto" w:val="clear"/>
        </w:rPr>
        <w:t>__________</w:t>
      </w:r>
      <w:r>
        <w:rPr>
          <w:b w:val="false"/>
          <w:bCs w:val="false"/>
          <w:i/>
          <w:iCs/>
          <w:shd w:fill="auto" w:val="clear"/>
        </w:rPr>
        <w:t xml:space="preserve"> (</w:t>
      </w:r>
      <w:r>
        <w:rPr>
          <w:b w:val="false"/>
          <w:bCs w:val="false"/>
          <w:i/>
          <w:iCs/>
          <w:shd w:fill="auto" w:val="clear"/>
        </w:rPr>
        <w:t>____________</w:t>
      </w:r>
      <w:r>
        <w:rPr>
          <w:b w:val="false"/>
          <w:bCs w:val="false"/>
          <w:i/>
          <w:iCs/>
          <w:shd w:fill="auto" w:val="clear"/>
        </w:rPr>
        <w:t xml:space="preserve">) рублей </w:t>
      </w:r>
      <w:r>
        <w:rPr>
          <w:b w:val="false"/>
          <w:bCs w:val="false"/>
          <w:i/>
          <w:iCs/>
          <w:shd w:fill="auto" w:val="clear"/>
        </w:rPr>
        <w:t>____</w:t>
      </w:r>
      <w:r>
        <w:rPr>
          <w:b w:val="false"/>
          <w:bCs w:val="false"/>
          <w:i/>
          <w:iCs/>
          <w:shd w:fill="auto" w:val="clear"/>
        </w:rPr>
        <w:t xml:space="preserve"> </w:t>
      </w:r>
      <w:r>
        <w:rPr>
          <w:b w:val="false"/>
          <w:bCs w:val="false"/>
          <w:i/>
          <w:iCs/>
        </w:rPr>
        <w:t>копеек</w:t>
      </w:r>
      <w:r>
        <w:rPr>
          <w:b w:val="false"/>
          <w:bCs w:val="false"/>
        </w:rPr>
        <w:t xml:space="preserve"> без учета НДС, при этом НДС исчисляется дополнительно по ставке, установленной статьей 164 НК РФ;</w:t>
      </w:r>
    </w:p>
    <w:p>
      <w:pPr>
        <w:pStyle w:val="ListParagraph"/>
        <w:numPr>
          <w:ilvl w:val="2"/>
          <w:numId w:val="2"/>
        </w:numPr>
        <w:shd w:val="clear" w:color="auto" w:fill="FFFFFF"/>
        <w:tabs>
          <w:tab w:val="clear" w:pos="708"/>
          <w:tab w:val="left" w:pos="1418" w:leader="none"/>
        </w:tabs>
        <w:ind w:firstLine="709" w:left="0"/>
        <w:jc w:val="both"/>
        <w:rPr>
          <w:b w:val="false"/>
          <w:bCs w:val="false"/>
        </w:rPr>
      </w:pPr>
      <w:r>
        <w:rPr>
          <w:b w:val="false"/>
          <w:bCs w:val="false"/>
          <w:shd w:fill="auto" w:val="clear"/>
        </w:rPr>
        <w:t xml:space="preserve">Лимит на непредвиденные работы и затраты составляет </w:t>
      </w:r>
      <w:r>
        <w:rPr>
          <w:b w:val="false"/>
          <w:bCs w:val="false"/>
          <w:shd w:fill="auto" w:val="clear"/>
        </w:rPr>
        <w:t>________</w:t>
      </w:r>
      <w:r>
        <w:rPr>
          <w:b w:val="false"/>
          <w:bCs w:val="false"/>
          <w:i/>
          <w:iCs/>
          <w:shd w:fill="auto" w:val="clear"/>
        </w:rPr>
        <w:t xml:space="preserve"> (</w:t>
      </w:r>
      <w:r>
        <w:rPr>
          <w:b w:val="false"/>
          <w:bCs w:val="false"/>
          <w:i/>
          <w:iCs/>
          <w:shd w:fill="auto" w:val="clear"/>
        </w:rPr>
        <w:t>__________</w:t>
      </w:r>
      <w:r>
        <w:rPr>
          <w:b w:val="false"/>
          <w:bCs w:val="false"/>
          <w:i/>
          <w:iCs/>
          <w:shd w:fill="auto" w:val="clear"/>
        </w:rPr>
        <w:t xml:space="preserve">) рубля </w:t>
      </w:r>
      <w:r>
        <w:rPr>
          <w:b w:val="false"/>
          <w:bCs w:val="false"/>
          <w:i/>
          <w:iCs/>
          <w:shd w:fill="auto" w:val="clear"/>
        </w:rPr>
        <w:t>___</w:t>
      </w:r>
      <w:r>
        <w:rPr>
          <w:b w:val="false"/>
          <w:bCs w:val="false"/>
          <w:i/>
          <w:iCs/>
          <w:shd w:fill="auto" w:val="clear"/>
        </w:rPr>
        <w:t xml:space="preserve"> копеек</w:t>
      </w:r>
      <w:r>
        <w:rPr>
          <w:b w:val="false"/>
          <w:bCs w:val="false"/>
          <w:shd w:fill="auto" w:val="clear"/>
        </w:rPr>
        <w:t xml:space="preserve"> без учета НДС, при этом НДС исчисляется дополнительно по ставке, установленной статьей 164 НК РФ.</w:t>
      </w:r>
    </w:p>
    <w:p>
      <w:pPr>
        <w:pStyle w:val="ListParagraph"/>
        <w:numPr>
          <w:ilvl w:val="1"/>
          <w:numId w:val="2"/>
        </w:numPr>
        <w:shd w:val="clear" w:color="auto" w:fill="FFFFFF"/>
        <w:tabs>
          <w:tab w:val="clear" w:pos="708"/>
          <w:tab w:val="left" w:pos="1134" w:leader="none"/>
        </w:tabs>
        <w:ind w:firstLine="709" w:left="0"/>
        <w:jc w:val="both"/>
        <w:rPr>
          <w:highlight w:val="none"/>
          <w:shd w:fill="auto" w:val="clear"/>
        </w:rPr>
      </w:pPr>
      <w:r>
        <w:rPr>
          <w:bCs/>
          <w:shd w:fill="auto" w:val="clear"/>
        </w:rPr>
        <w:t xml:space="preserve">Локальные сметные расчеты подлежат согласованию Сторонами не позднее истечения </w:t>
      </w:r>
      <w:r>
        <w:rPr>
          <w:shd w:fill="auto" w:val="clear"/>
        </w:rPr>
        <w:t>30</w:t>
      </w:r>
      <w:r>
        <w:rPr>
          <w:bCs/>
          <w:shd w:fill="auto" w:val="clear"/>
        </w:rPr>
        <w:t xml:space="preserve"> (</w:t>
      </w:r>
      <w:r>
        <w:rPr>
          <w:shd w:fill="auto" w:val="clear"/>
        </w:rPr>
        <w:t>тридцати</w:t>
      </w:r>
      <w:r>
        <w:rPr>
          <w:bCs/>
          <w:shd w:fill="auto" w:val="clear"/>
        </w:rPr>
        <w:t xml:space="preserve">) календарных дней с даты [вступления Договора в силу] или [завершения и приемки Заказчиком Проектных работ]. </w:t>
        <w:br/>
        <w:t xml:space="preserve">При несогласовании вышеуказанных документов в установленный срок Подрядчик обязан </w:t>
        <w:br/>
        <w:t>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Pr>
          <w:shd w:fill="auto" w:val="clear"/>
        </w:rPr>
        <w:t xml:space="preserve"> /</w:t>
      </w:r>
      <w:r>
        <w:rPr>
          <w:bCs/>
          <w:shd w:fill="auto" w:val="clear"/>
        </w:rPr>
        <w:t xml:space="preserve"> Объектный сметный расчет с приложениями (Приложение № 3 к Договору) путем заключения дополнительного соглашения к Договору.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Цена Договора включает в себя прибыль Подрядчика, а также все расходы </w:t>
        <w:br/>
        <w:t>и затраты Подрядчика на:</w:t>
      </w:r>
    </w:p>
    <w:p>
      <w:pPr>
        <w:pStyle w:val="ListParagraph"/>
        <w:numPr>
          <w:ilvl w:val="2"/>
          <w:numId w:val="2"/>
        </w:numPr>
        <w:shd w:val="clear" w:color="auto" w:fill="FFFFFF"/>
        <w:tabs>
          <w:tab w:val="clear" w:pos="708"/>
          <w:tab w:val="left" w:pos="1418" w:leader="none"/>
        </w:tabs>
        <w:ind w:firstLine="709" w:left="0"/>
        <w:jc w:val="both"/>
        <w:rPr/>
      </w:pPr>
      <w: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2"/>
        </w:numPr>
        <w:shd w:val="clear" w:color="auto" w:fill="FFFFFF"/>
        <w:tabs>
          <w:tab w:val="clear" w:pos="708"/>
          <w:tab w:val="left" w:pos="1418" w:leader="none"/>
        </w:tabs>
        <w:ind w:firstLine="709" w:left="0"/>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лицензии.</w:t>
      </w:r>
    </w:p>
    <w:p>
      <w:pPr>
        <w:pStyle w:val="ListParagraph"/>
        <w:numPr>
          <w:ilvl w:val="2"/>
          <w:numId w:val="2"/>
        </w:numPr>
        <w:shd w:val="clear" w:color="auto" w:fill="FFFFFF"/>
        <w:tabs>
          <w:tab w:val="clear" w:pos="708"/>
          <w:tab w:val="left" w:pos="1418" w:leader="none"/>
        </w:tabs>
        <w:ind w:firstLine="709" w:left="0"/>
        <w:jc w:val="both"/>
        <w:rPr/>
      </w:pPr>
      <w: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2"/>
        </w:numPr>
        <w:shd w:val="clear" w:color="auto" w:fill="FFFFFF"/>
        <w:tabs>
          <w:tab w:val="clear" w:pos="708"/>
          <w:tab w:val="left" w:pos="1418" w:leader="none"/>
        </w:tabs>
        <w:ind w:firstLine="709" w:left="0"/>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firstLine="709" w:left="0"/>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708"/>
          <w:tab w:val="left" w:pos="1134" w:leader="none"/>
        </w:tabs>
        <w:ind w:firstLine="709" w:left="0"/>
        <w:jc w:val="both"/>
        <w:rPr>
          <w:bCs/>
        </w:rPr>
      </w:pPr>
      <w:bookmarkStart w:id="11" w:name="_Ref361834675"/>
      <w:bookmarkStart w:id="12" w:name="_Ref361858588"/>
      <w:r>
        <w:rPr>
          <w:bCs/>
        </w:rPr>
        <w:t>Оплата по Договору осуществляется Заказчиком в следующем порядке:</w:t>
      </w:r>
      <w:bookmarkEnd w:id="11"/>
      <w:bookmarkEnd w:id="12"/>
      <w:r>
        <w:rPr>
          <w:bCs/>
        </w:rPr>
        <w:t xml:space="preserve"> </w:t>
      </w:r>
    </w:p>
    <w:p>
      <w:pPr>
        <w:pStyle w:val="ListParagraph"/>
        <w:numPr>
          <w:ilvl w:val="2"/>
          <w:numId w:val="2"/>
        </w:numPr>
        <w:shd w:val="clear" w:color="auto" w:fill="FFFFFF"/>
        <w:tabs>
          <w:tab w:val="clear" w:pos="708"/>
          <w:tab w:val="left" w:pos="1418" w:leader="none"/>
        </w:tabs>
        <w:ind w:firstLine="709" w:left="0"/>
        <w:jc w:val="both"/>
        <w:rPr/>
      </w:pPr>
      <w:r>
        <w:rPr/>
        <w:t>Подрядчик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pPr>
        <w:pStyle w:val="ListParagraph"/>
        <w:numPr>
          <w:ilvl w:val="2"/>
          <w:numId w:val="2"/>
        </w:numPr>
        <w:shd w:val="clear" w:color="auto" w:fill="FFFFFF"/>
        <w:tabs>
          <w:tab w:val="clear" w:pos="708"/>
          <w:tab w:val="left" w:pos="1418" w:leader="none"/>
        </w:tabs>
        <w:ind w:firstLine="709" w:left="0"/>
        <w:jc w:val="both"/>
        <w:rPr>
          <w:highlight w:val="none"/>
          <w:shd w:fill="auto" w:val="clear"/>
        </w:rPr>
      </w:pPr>
      <w:bookmarkStart w:id="13" w:name="_Ref361335057"/>
      <w:r>
        <w:rPr>
          <w:shd w:fill="auto" w:val="clear"/>
        </w:rPr>
        <w:t xml:space="preserve">Авансовые платежи в счет стоимости каждого Этапа Проектных работ </w:t>
        <w:br/>
        <w:t xml:space="preserve">в размере 30% (тридцати процентов) от стоимости соответствующего Этапа Проектных работ (за исключением непредвиденных работ и затрат)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w:t>
      </w:r>
      <w:bookmarkEnd w:id="13"/>
      <w:r>
        <w:rPr>
          <w:shd w:fill="auto" w:val="clear"/>
        </w:rPr>
        <w:t xml:space="preserve">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w:t>
        <w:br/>
        <w:t>в соответствии с пунктом 3.2 Договора</w:t>
      </w:r>
      <w:r>
        <w:rPr>
          <w:rStyle w:val="FootnoteReference"/>
          <w:shd w:fill="auto" w:val="clear"/>
        </w:rPr>
        <w:footnoteReference w:id="8"/>
      </w:r>
      <w:r>
        <w:rPr>
          <w:shd w:fill="auto" w:val="clear"/>
        </w:rPr>
        <w:t>, и с учетом пунктов 3.5.1, 3.5.5 Догово</w:t>
      </w:r>
      <w:bookmarkStart w:id="14" w:name="_Ref373242755"/>
      <w:bookmarkEnd w:id="14"/>
      <w:r>
        <w:rPr>
          <w:shd w:fill="auto" w:val="clear"/>
        </w:rPr>
        <w:t>ра.</w:t>
      </w:r>
    </w:p>
    <w:p>
      <w:pPr>
        <w:pStyle w:val="ListParagraph"/>
        <w:numPr>
          <w:ilvl w:val="2"/>
          <w:numId w:val="2"/>
        </w:numPr>
        <w:shd w:val="clear" w:color="auto" w:fill="FFFFFF"/>
        <w:tabs>
          <w:tab w:val="clear" w:pos="708"/>
          <w:tab w:val="left" w:pos="1418" w:leader="none"/>
        </w:tabs>
        <w:ind w:firstLine="709" w:left="0"/>
        <w:jc w:val="both"/>
        <w:rPr/>
      </w:pPr>
      <w:bookmarkStart w:id="15" w:name="_Ref361834178"/>
      <w:bookmarkEnd w:id="15"/>
      <w:r>
        <w:rPr/>
        <w:t xml:space="preserve">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w:t>
      </w:r>
      <w:r>
        <w:rPr>
          <w:highlight w:val="lightGray"/>
        </w:rPr>
        <w:t>(за исключением непредвиденных работ и затрат)</w:t>
      </w:r>
      <w:r>
        <w:rPr/>
        <w:t xml:space="preserve"> </w:t>
      </w:r>
      <w:r>
        <w:rPr>
          <w:shd w:fill="FFFFFF" w:val="clear"/>
        </w:rPr>
        <w:t xml:space="preserve">без учета НДС, кроме того НДС по ставке, установленной статьей 164 НК РФ на дату выплаты авансового платежа, </w:t>
      </w:r>
      <w:r>
        <w:rPr/>
        <w:t xml:space="preserve">выплачиваются в течение 30 (тридцати) календарных дней с даты получения Заказчиком счета, выставленного Подрядчиком, </w:t>
      </w:r>
      <w:r>
        <w:rPr>
          <w:highlight w:val="lightGray"/>
        </w:rPr>
        <w:t xml:space="preserve">при условии согласования Сторонами сметной документации </w:t>
        <w:br/>
        <w:t>на соответствующий Этап Работ в соответствии с пунктом 3.2 Договора</w:t>
      </w:r>
      <w:r>
        <w:rPr/>
        <w:t xml:space="preserve">, но не ранее </w:t>
        <w:br/>
        <w:t xml:space="preserve">чем за 30 (тридцать) календарных дней до даты его начала, определенной в соответствии </w:t>
        <w:br/>
        <w:t xml:space="preserve">с Календарным графиком выполнения Работ (Приложение № 2 </w:t>
        <w:br/>
        <w:t>к Договору), и с учетом пунктов 3.5.1, 3.5.5 Догово</w:t>
      </w:r>
      <w:bookmarkStart w:id="16" w:name="_Ref373242766"/>
      <w:bookmarkEnd w:id="16"/>
      <w:r>
        <w:rPr/>
        <w:t>ра.</w:t>
      </w:r>
    </w:p>
    <w:p>
      <w:pPr>
        <w:pStyle w:val="ListParagraph"/>
        <w:numPr>
          <w:ilvl w:val="2"/>
          <w:numId w:val="2"/>
        </w:numPr>
        <w:shd w:val="clear" w:color="auto" w:fill="FFFFFF"/>
        <w:tabs>
          <w:tab w:val="clear" w:pos="708"/>
          <w:tab w:val="left" w:pos="1418" w:leader="none"/>
        </w:tabs>
        <w:ind w:firstLine="709" w:left="0"/>
        <w:jc w:val="both"/>
        <w:rPr/>
      </w:pPr>
      <w:r>
        <w:rPr/>
        <w:t xml:space="preserve">Последующие платежи в размере 90% (девяноста процентов) от стоимости каждого Этапа Работ </w:t>
      </w:r>
      <w:r>
        <w:rPr>
          <w:highlight w:val="lightGray"/>
        </w:rPr>
        <w:t>(кроме Проектных работ)</w:t>
      </w:r>
      <w:r>
        <w:rPr/>
        <w:t xml:space="preserve"> выплачиваются в течение </w:t>
      </w:r>
      <w:r>
        <w:rPr>
          <w:highlight w:val="lightGray"/>
        </w:rPr>
        <w:t>20 (двадцати) календарных дней</w:t>
      </w:r>
      <w:r>
        <w:rPr>
          <w:rStyle w:val="FootnoteReference"/>
          <w:highlight w:val="lightGray"/>
        </w:rPr>
        <w:footnoteReference w:id="9"/>
      </w:r>
      <w:r>
        <w:rPr>
          <w:highlight w:val="lightGray"/>
        </w:rPr>
        <w:t xml:space="preserve"> /  45 (сорока пяти) календарных дней</w:t>
      </w:r>
      <w:r>
        <w:rPr>
          <w:rStyle w:val="FootnoteReference"/>
          <w:highlight w:val="lightGray"/>
        </w:rPr>
        <w:footnoteReference w:id="10"/>
      </w:r>
      <w:r>
        <w:rPr>
          <w:highlight w:val="lightGray"/>
        </w:rPr>
        <w:t xml:space="preserve"> / 7 (семи) рабочих дней</w:t>
      </w:r>
      <w:r>
        <w:rPr>
          <w:rStyle w:val="FootnoteReference"/>
          <w:highlight w:val="lightGray"/>
        </w:rPr>
        <w:footnoteReference w:id="11"/>
      </w:r>
      <w:r>
        <w:rPr/>
        <w:t xml:space="preserve"> с даты подписания Сторонами документов, указанных в пункте 4.2 Договора, на основании счёта, выставленного Подрядчиком, и с учетом пунктов 3.5.5, 3.5.6 Договора. </w:t>
      </w:r>
    </w:p>
    <w:p>
      <w:pPr>
        <w:pStyle w:val="ListParagraph"/>
        <w:shd w:val="clear" w:color="auto" w:fill="FFFFFF"/>
        <w:tabs>
          <w:tab w:val="clear" w:pos="708"/>
          <w:tab w:val="left" w:pos="1418" w:leader="none"/>
        </w:tabs>
        <w:ind w:firstLine="709" w:left="0"/>
        <w:jc w:val="both"/>
        <w:rPr/>
      </w:pPr>
      <w:r>
        <w:rPr/>
        <w:t xml:space="preserve">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pPr>
        <w:pStyle w:val="ListParagraph"/>
        <w:numPr>
          <w:ilvl w:val="2"/>
          <w:numId w:val="2"/>
        </w:numPr>
        <w:shd w:val="clear" w:color="auto" w:fill="FFFFFF"/>
        <w:tabs>
          <w:tab w:val="clear" w:pos="708"/>
          <w:tab w:val="left" w:pos="1418" w:leader="none"/>
        </w:tabs>
        <w:ind w:firstLine="709" w:left="0"/>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w:t>
      </w:r>
      <w:r>
        <w:rPr>
          <w:shd w:fill="FFFFFF" w:val="clear"/>
        </w:rPr>
        <w:t xml:space="preserve">е чем за 10 (десять) </w:t>
      </w:r>
      <w:r>
        <w:rPr/>
        <w:t>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
        </w:numPr>
        <w:shd w:val="clear" w:color="auto" w:fill="FFFFFF"/>
        <w:tabs>
          <w:tab w:val="clear" w:pos="708"/>
          <w:tab w:val="left" w:pos="1418" w:leader="none"/>
        </w:tabs>
        <w:ind w:firstLine="709" w:left="0"/>
        <w:jc w:val="both"/>
        <w:rPr>
          <w:highlight w:val="lightGray"/>
        </w:rPr>
      </w:pPr>
      <w:r>
        <w:rPr>
          <w:highlight w:val="lightGray"/>
        </w:rPr>
        <w:t xml:space="preserve">Подрядчик обязан в течение 30 (тридцати) календарных дней [с даты, следующей за датой начала выполнения Работ, указанной в пункте 1.6 Договора] [с даты начала выполнения Работ по Объекту], </w:t>
      </w:r>
      <w:r>
        <w:rPr>
          <w:shd w:fill="CCCCCC" w:val="clear"/>
        </w:rPr>
        <w:t>предоставить</w:t>
      </w:r>
      <w:r>
        <w:rPr>
          <w:highlight w:val="lightGray"/>
        </w:rPr>
        <w:t xml:space="preserve">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 Этапа Работ от каждого платежа, выплачиваемого Заказчиком Подрядчику в порядке, размерах и сроки, установленные пунктами 3.5.4, 3.8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pPr>
        <w:pStyle w:val="Normal"/>
        <w:widowControl w:val="false"/>
        <w:tabs>
          <w:tab w:val="clear" w:pos="708"/>
          <w:tab w:val="left" w:pos="709" w:leader="none"/>
          <w:tab w:val="left" w:pos="1701" w:leader="none"/>
        </w:tabs>
        <w:spacing w:lineRule="auto" w:line="240"/>
        <w:ind w:firstLine="709"/>
        <w:rPr>
          <w:sz w:val="24"/>
          <w:szCs w:val="24"/>
          <w:highlight w:val="lightGray"/>
        </w:rPr>
      </w:pPr>
      <w:r>
        <w:rPr>
          <w:sz w:val="24"/>
          <w:szCs w:val="24"/>
          <w:highlight w:val="lightGray"/>
        </w:rPr>
        <w:t>В период действия Договора Подрядчик вправе предоставить Заказчику банковскую гарантию в обеспечение надлежащего исполнения обязательств по Догов</w:t>
      </w:r>
      <w:r>
        <w:rPr>
          <w:sz w:val="24"/>
          <w:szCs w:val="24"/>
          <w:shd w:fill="CCCCCC" w:val="clear"/>
        </w:rPr>
        <w:t>ору [по соответствующему Объекту], отвечающую требованиям, указанным в разделе 6 Договора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[по соответствующему Объекту] на основании счета, выставленного Подрядчиком.</w:t>
      </w:r>
    </w:p>
    <w:p>
      <w:pPr>
        <w:pStyle w:val="ListParagraph"/>
        <w:shd w:val="clear" w:color="auto" w:fill="FFFFFF"/>
        <w:tabs>
          <w:tab w:val="clear" w:pos="708"/>
          <w:tab w:val="left" w:pos="1276" w:leader="none"/>
          <w:tab w:val="left" w:pos="1418" w:leader="none"/>
        </w:tabs>
        <w:ind w:firstLine="709" w:left="0"/>
        <w:jc w:val="both"/>
        <w:rPr>
          <w:highlight w:val="lightGray"/>
        </w:rPr>
      </w:pPr>
      <w:r>
        <w:rPr>
          <w:highlight w:val="lightGray"/>
        </w:rPr>
        <w:t>Выплата Обеспечительного платежа производится в течение 30 (тридцати) календарных дней</w:t>
      </w:r>
      <w:r>
        <w:rPr>
          <w:rStyle w:val="FootnoteReference"/>
          <w:highlight w:val="lightGray"/>
        </w:rPr>
        <w:footnoteReference w:id="12"/>
      </w:r>
      <w:r>
        <w:rPr>
          <w:highlight w:val="lightGray"/>
        </w:rPr>
        <w:t>/ 7 (семи) рабочих дней</w:t>
      </w:r>
      <w:r>
        <w:rPr>
          <w:rStyle w:val="FootnoteReference"/>
          <w:highlight w:val="lightGray"/>
        </w:rPr>
        <w:footnoteReference w:id="13"/>
      </w:r>
      <w:r>
        <w:rPr>
          <w:highlight w:val="lightGray"/>
        </w:rPr>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w:t>
        <w:br/>
        <w:t xml:space="preserve">не установлено в соответствующем соглашении о расторжении Договора. </w:t>
      </w:r>
    </w:p>
    <w:p>
      <w:pPr>
        <w:pStyle w:val="ListParagraph"/>
        <w:shd w:val="clear" w:color="auto" w:fill="FFFFFF"/>
        <w:tabs>
          <w:tab w:val="clear" w:pos="708"/>
          <w:tab w:val="left" w:pos="1276" w:leader="none"/>
          <w:tab w:val="left" w:pos="1418" w:leader="none"/>
        </w:tabs>
        <w:ind w:firstLine="709" w:left="0"/>
        <w:jc w:val="both"/>
        <w:rPr/>
      </w:pPr>
      <w:r>
        <w:rPr>
          <w:highlight w:val="lightGray"/>
        </w:rPr>
        <w:t>Любое требование Подрядчика о выплате Обеспечительного платежа до наступления установленного Договором срока не подлежит удовлетворению</w:t>
      </w:r>
      <w:r>
        <w:rPr/>
        <w:t>.</w:t>
      </w:r>
    </w:p>
    <w:p>
      <w:pPr>
        <w:pStyle w:val="ListParagraph"/>
        <w:numPr>
          <w:ilvl w:val="2"/>
          <w:numId w:val="2"/>
        </w:numPr>
        <w:shd w:val="clear" w:color="auto" w:fill="FFFFFF"/>
        <w:tabs>
          <w:tab w:val="clear" w:pos="708"/>
          <w:tab w:val="left" w:pos="1418" w:leader="none"/>
        </w:tabs>
        <w:ind w:firstLine="709" w:left="0"/>
        <w:jc w:val="both"/>
        <w:rPr>
          <w:bCs/>
        </w:rPr>
      </w:pPr>
      <w:bookmarkStart w:id="17" w:name="_Ref373242894"/>
      <w:bookmarkStart w:id="18" w:name="_Ref3618341781"/>
      <w:bookmarkEnd w:id="18"/>
      <w:r>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Pr/>
        <w:t>предоставил</w:t>
      </w:r>
      <w:r>
        <w:rPr>
          <w:bCs/>
        </w:rPr>
        <w:t xml:space="preserve"> финансового обеспечения исполнения обязательств, предусмотренного пунктом 3.5.1 Договора, в установленный срок и при этом </w:t>
        <w:br/>
        <w:t>не приступил к исполнению обязательств по Договору.</w:t>
      </w:r>
      <w:bookmarkEnd w:id="17"/>
      <w:r>
        <w:rPr>
          <w:bCs/>
        </w:rPr>
        <w:t xml:space="preserve"> </w:t>
      </w:r>
    </w:p>
    <w:p>
      <w:pPr>
        <w:pStyle w:val="ListParagraph"/>
        <w:numPr>
          <w:ilvl w:val="1"/>
          <w:numId w:val="2"/>
        </w:numPr>
        <w:shd w:val="clear" w:color="auto" w:fill="FFFFFF"/>
        <w:tabs>
          <w:tab w:val="clear" w:pos="708"/>
          <w:tab w:val="left" w:pos="1134" w:leader="none"/>
        </w:tabs>
        <w:ind w:firstLine="709" w:left="0"/>
        <w:jc w:val="both"/>
        <w:rPr>
          <w:bCs/>
        </w:rPr>
      </w:pPr>
      <w:bookmarkStart w:id="19" w:name="_Ref361336647"/>
      <w:bookmarkEnd w:id="19"/>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
        </w:numPr>
        <w:shd w:val="clear" w:color="auto" w:fill="FFFFFF"/>
        <w:tabs>
          <w:tab w:val="clear" w:pos="708"/>
          <w:tab w:val="left" w:pos="1134" w:leader="none"/>
        </w:tabs>
        <w:ind w:firstLine="709" w:left="0"/>
        <w:jc w:val="both"/>
        <w:rPr>
          <w:bCs/>
        </w:rPr>
      </w:pPr>
      <w:r>
        <w:rPr>
          <w:highlight w:val="lightGray"/>
        </w:rPr>
        <w:t xml:space="preserve">Оплата затрат на временные здания и сооружения и непредвиденных работ </w:t>
        <w:br/>
        <w:t>и затрат</w:t>
      </w:r>
      <w:r>
        <w:rPr>
          <w:rStyle w:val="FootnoteReference"/>
          <w:highlight w:val="lightGray"/>
        </w:rPr>
        <w:footnoteReference w:id="14"/>
      </w:r>
      <w:r>
        <w:rPr>
          <w:highlight w:val="lightGray"/>
        </w:rPr>
        <w:t xml:space="preserve"> осуществляется Заказчиком в следующем порядке</w:t>
      </w:r>
      <w:r>
        <w:rPr>
          <w:bCs/>
        </w:rPr>
        <w:t>:</w:t>
      </w:r>
    </w:p>
    <w:p>
      <w:pPr>
        <w:pStyle w:val="ListParagraph"/>
        <w:numPr>
          <w:ilvl w:val="2"/>
          <w:numId w:val="2"/>
        </w:numPr>
        <w:shd w:val="clear" w:color="auto" w:fill="FFFFFF"/>
        <w:tabs>
          <w:tab w:val="clear" w:pos="708"/>
          <w:tab w:val="left" w:pos="1418" w:leader="none"/>
        </w:tabs>
        <w:ind w:firstLine="709" w:left="0"/>
        <w:jc w:val="both"/>
        <w:rPr/>
      </w:pPr>
      <w:r>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highlight w:val="lightGray"/>
        </w:rPr>
        <w:t xml:space="preserve"> / Объектным сметным расчетом</w:t>
      </w:r>
      <w:r>
        <w:rPr>
          <w:highlight w:val="lightGray"/>
        </w:rPr>
        <w:t xml:space="preserve"> </w:t>
      </w:r>
      <w:r>
        <w:rPr>
          <w:bCs/>
          <w:highlight w:val="lightGray"/>
        </w:rPr>
        <w:t>с приложениями</w:t>
      </w:r>
      <w:r>
        <w:rPr>
          <w:highlight w:val="lightGray"/>
        </w:rPr>
        <w:t xml:space="preserve"> (Приложение № 3 Договору). По окончании возведения каждого титульного временного здания и / или сооружения Стороны подписывают Акт </w:t>
      </w:r>
      <w:r>
        <w:rPr>
          <w:bCs/>
          <w:highlight w:val="lightGray"/>
        </w:rPr>
        <w:t xml:space="preserve">КС-2 </w:t>
        <w:br/>
        <w:t xml:space="preserve">и Справку </w:t>
      </w:r>
      <w:r>
        <w:rPr>
          <w:highlight w:val="lightGray"/>
        </w:rPr>
        <w:t>КС-3. Оплата в размере 100% (ста процентов) от стоимости временного здания и / или сооружения производится Заказчиком в течение 20 (двадцати) календарных дней</w:t>
      </w:r>
      <w:r>
        <w:rPr>
          <w:rStyle w:val="FootnoteReference"/>
          <w:highlight w:val="lightGray"/>
        </w:rPr>
        <w:footnoteReference w:id="15"/>
      </w:r>
      <w:r>
        <w:rPr>
          <w:highlight w:val="lightGray"/>
        </w:rPr>
        <w:t xml:space="preserve"> /  45 (сорока пяти) календарных дней</w:t>
      </w:r>
      <w:r>
        <w:rPr>
          <w:rStyle w:val="FootnoteReference"/>
          <w:highlight w:val="lightGray"/>
        </w:rPr>
        <w:footnoteReference w:id="16"/>
      </w:r>
      <w:r>
        <w:rPr>
          <w:highlight w:val="lightGray"/>
        </w:rPr>
        <w:t xml:space="preserve"> / 7 (семи) рабочих дней</w:t>
      </w:r>
      <w:r>
        <w:rPr>
          <w:rStyle w:val="FootnoteReference"/>
          <w:highlight w:val="lightGray"/>
        </w:rPr>
        <w:footnoteReference w:id="17"/>
      </w:r>
      <w:r>
        <w:rPr>
          <w:highlight w:val="lightGray"/>
        </w:rPr>
        <w:t xml:space="preserve"> с даты подписания Акта КС-2 и Справки КС-3 на основании счета, выставленного Подрядчиком, </w:t>
        <w:br/>
        <w:t xml:space="preserve">и с учетом пунктов 3.5.5, 3.5.6 Договора. Стоимость временных зданий и сооружений </w:t>
        <w:br/>
        <w:t xml:space="preserve">не включается в </w:t>
      </w:r>
      <w:r>
        <w:rPr>
          <w:bCs/>
          <w:highlight w:val="lightGray"/>
        </w:rPr>
        <w:t xml:space="preserve">общую сумму Акта КС-2, подписываемого Сторонами в соответствии </w:t>
        <w:br/>
        <w:t>с пунктом 4.3 Договора</w:t>
      </w:r>
      <w:r>
        <w:rPr>
          <w:bCs/>
        </w:rPr>
        <w:t>.</w:t>
      </w:r>
    </w:p>
    <w:p>
      <w:pPr>
        <w:pStyle w:val="ListParagraph"/>
        <w:numPr>
          <w:ilvl w:val="2"/>
          <w:numId w:val="2"/>
        </w:numPr>
        <w:shd w:val="clear" w:color="auto" w:fill="FFFFFF"/>
        <w:tabs>
          <w:tab w:val="clear" w:pos="708"/>
          <w:tab w:val="left" w:pos="1418" w:leader="none"/>
        </w:tabs>
        <w:ind w:firstLine="709" w:left="0"/>
        <w:jc w:val="both"/>
        <w:rPr/>
      </w:pPr>
      <w:r>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br/>
        <w:t xml:space="preserve">с Заказчиком и выполняться на основании утвержденных Заказчиком локальных смет, </w:t>
        <w:br/>
        <w:t xml:space="preserve">в рамках Лимита на непредвиденные работы и затраты, предусмотренного утвержденным Сводным сметным расчетом </w:t>
      </w:r>
      <w:r>
        <w:rPr>
          <w:bCs/>
          <w:highlight w:val="lightGray"/>
        </w:rPr>
        <w:t>/ Объектным сметным расчетом</w:t>
      </w:r>
      <w:r>
        <w:rPr>
          <w:highlight w:val="lightGray"/>
        </w:rPr>
        <w:t xml:space="preserve"> </w:t>
      </w:r>
      <w:r>
        <w:rPr>
          <w:bCs/>
          <w:highlight w:val="lightGray"/>
        </w:rPr>
        <w:t>с приложениями</w:t>
      </w:r>
      <w:r>
        <w:rPr>
          <w:highlight w:val="lightGray"/>
        </w:rPr>
        <w:t xml:space="preserve"> (Приложение </w:t>
        <w:br/>
        <w:t xml:space="preserve">№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lang w:val="en-US"/>
        </w:rPr>
        <w:t>c</w:t>
      </w:r>
      <w:r>
        <w:rPr>
          <w:highlight w:val="lightGray"/>
        </w:rPr>
        <w:t xml:space="preserve"> пунктом 4.2 Договора. Оплата </w:t>
        <w:br/>
        <w:t>в размере 100 % (ста процентов) от стоимости непредвиденных работ и затрат производится Заказчиком в течение 20 (двадцати) календарных дней</w:t>
      </w:r>
      <w:r>
        <w:rPr>
          <w:rStyle w:val="FootnoteReference"/>
          <w:highlight w:val="lightGray"/>
        </w:rPr>
        <w:footnoteReference w:id="18"/>
      </w:r>
      <w:r>
        <w:rPr>
          <w:highlight w:val="lightGray"/>
        </w:rPr>
        <w:t xml:space="preserve"> /  45 (сорока пяти) календарных дней</w:t>
      </w:r>
      <w:r>
        <w:rPr>
          <w:rStyle w:val="FootnoteReference"/>
          <w:highlight w:val="lightGray"/>
        </w:rPr>
        <w:footnoteReference w:id="19"/>
      </w:r>
      <w:r>
        <w:rPr>
          <w:highlight w:val="lightGray"/>
        </w:rPr>
        <w:t xml:space="preserve"> / 7 (семи) рабочих дней</w:t>
      </w:r>
      <w:r>
        <w:rPr>
          <w:rStyle w:val="FootnoteReference"/>
          <w:highlight w:val="lightGray"/>
        </w:rPr>
        <w:footnoteReference w:id="20"/>
      </w:r>
      <w:r>
        <w:rPr>
          <w:highlight w:val="lightGray"/>
        </w:rPr>
        <w:t xml:space="preserve"> с даты подписания Акта освидетельствования выполненных работ на основании счета, выставленного Подрядчиком, </w:t>
        <w:br/>
        <w:t xml:space="preserve">и с учетом пунктов 3.5.5, 3.5.6 Договора. Стоимость непредвиденных работ и затрат включается в </w:t>
      </w:r>
      <w:r>
        <w:rPr>
          <w:bCs/>
          <w:highlight w:val="lightGray"/>
        </w:rPr>
        <w:t xml:space="preserve">общую сумму Акта КС-2, подписываемого Сторонами в соответствии </w:t>
        <w:br/>
        <w:t>с пунктом 5.3 Договора</w:t>
      </w:r>
      <w:r>
        <w:rPr>
          <w:bCs/>
        </w:rPr>
        <w:t>.</w:t>
      </w:r>
    </w:p>
    <w:p>
      <w:pPr>
        <w:pStyle w:val="ListParagraph"/>
        <w:shd w:val="clear" w:color="auto" w:fill="FFFFFF"/>
        <w:tabs>
          <w:tab w:val="clear" w:pos="708"/>
          <w:tab w:val="left" w:pos="1418" w:leader="none"/>
        </w:tabs>
        <w:ind w:firstLine="709" w:left="0"/>
        <w:jc w:val="both"/>
        <w:rPr/>
      </w:pPr>
      <w:r>
        <w:rPr>
          <w:highlight w:val="lightGray"/>
        </w:rPr>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Pr/>
        <w:t>.</w:t>
      </w:r>
    </w:p>
    <w:p>
      <w:pPr>
        <w:pStyle w:val="Normal"/>
        <w:shd w:val="clear" w:color="auto" w:fill="FFFFFF"/>
        <w:tabs>
          <w:tab w:val="clear" w:pos="708"/>
          <w:tab w:val="left" w:pos="1418" w:leader="none"/>
        </w:tabs>
        <w:spacing w:lineRule="auto" w:line="240"/>
        <w:ind w:firstLine="709"/>
        <w:rPr>
          <w:highlight w:val="lightGray"/>
        </w:rPr>
      </w:pPr>
      <w:r>
        <w:rPr>
          <w:sz w:val="24"/>
          <w:szCs w:val="24"/>
          <w:highlight w:val="lightGray"/>
        </w:rPr>
        <w:t>4.9.</w:t>
      </w:r>
      <w:r>
        <w:rPr>
          <w:highlight w:val="lightGray"/>
        </w:rPr>
        <w:t xml:space="preserve"> </w:t>
      </w:r>
      <w:r>
        <w:rPr>
          <w:sz w:val="24"/>
          <w:szCs w:val="24"/>
          <w:highlight w:val="lightGray"/>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Pr>
          <w:bCs/>
          <w:sz w:val="24"/>
          <w:szCs w:val="24"/>
          <w:highlight w:val="lightGray"/>
        </w:rPr>
        <w:t xml:space="preserve"> Объектному сметному расчету</w:t>
      </w:r>
      <w:r>
        <w:rPr>
          <w:sz w:val="24"/>
          <w:szCs w:val="24"/>
          <w:highlight w:val="lightGray"/>
        </w:rPr>
        <w:t xml:space="preserve"> </w:t>
      </w:r>
      <w:r>
        <w:rPr>
          <w:bCs/>
          <w:sz w:val="24"/>
          <w:szCs w:val="24"/>
          <w:highlight w:val="lightGray"/>
        </w:rPr>
        <w:t>с приложениями</w:t>
      </w:r>
      <w:r>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w:t>
        <w:br/>
        <w:t>в гостинице и авансовые отчеты.</w:t>
      </w:r>
    </w:p>
    <w:p>
      <w:pPr>
        <w:pStyle w:val="ListParagraph"/>
        <w:shd w:val="clear" w:color="auto" w:fill="FFFFFF"/>
        <w:tabs>
          <w:tab w:val="clear" w:pos="708"/>
          <w:tab w:val="left" w:pos="1134" w:leader="none"/>
          <w:tab w:val="left" w:pos="1418" w:leader="none"/>
        </w:tabs>
        <w:ind w:firstLine="709" w:left="0"/>
        <w:jc w:val="both"/>
        <w:rPr>
          <w:bCs/>
        </w:rPr>
      </w:pPr>
      <w:bookmarkStart w:id="20" w:name="_Ref361834251"/>
      <w:bookmarkEnd w:id="20"/>
      <w:r>
        <w:rPr>
          <w:bCs/>
        </w:rPr>
        <w:t xml:space="preserve">4.10.  Индексация Цены Договора не допускается. </w:t>
      </w:r>
    </w:p>
    <w:p>
      <w:pPr>
        <w:pStyle w:val="ListParagraph"/>
        <w:shd w:val="clear" w:color="auto" w:fill="FFFFFF"/>
        <w:tabs>
          <w:tab w:val="clear" w:pos="708"/>
          <w:tab w:val="left" w:pos="1134" w:leader="none"/>
          <w:tab w:val="left" w:pos="1418" w:leader="none"/>
        </w:tabs>
        <w:ind w:firstLine="709" w:left="0"/>
        <w:jc w:val="both"/>
        <w:rPr>
          <w:bCs/>
        </w:rPr>
      </w:pPr>
      <w:r>
        <w:rPr>
          <w:bCs/>
        </w:rPr>
        <w:t xml:space="preserve">4.11.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w:t>
      </w:r>
      <w:r>
        <w:rPr>
          <w:bCs/>
          <w:shd w:fill="FFFFFF" w:val="clear"/>
        </w:rPr>
        <w:t>обязательств по Договору, стоимость работ по устранению недостатков выполненных Подрядчиком работ и поставленного Подрядчиком Оборудования.</w:t>
      </w:r>
    </w:p>
    <w:p>
      <w:pPr>
        <w:pStyle w:val="ListParagraph"/>
        <w:shd w:val="clear" w:color="auto" w:fill="FFFFFF"/>
        <w:tabs>
          <w:tab w:val="clear" w:pos="708"/>
          <w:tab w:val="left" w:pos="1418" w:leader="none"/>
        </w:tabs>
        <w:ind w:firstLine="709" w:left="0"/>
        <w:jc w:val="both"/>
        <w:rPr>
          <w:highlight w:val="white"/>
        </w:rPr>
      </w:pPr>
      <w:r>
        <w:rPr>
          <w:bCs/>
          <w:shd w:fill="FFFFFF" w:val="clear"/>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418" w:leader="none"/>
        </w:tabs>
        <w:ind w:firstLine="709" w:left="0"/>
        <w:jc w:val="both"/>
        <w:rPr>
          <w:bCs/>
          <w:shd w:fill="FFFF00" w:val="clear"/>
        </w:rPr>
      </w:pPr>
      <w:r>
        <w:rPr>
          <w:bCs/>
          <w:shd w:fill="FFFF00" w:val="clear"/>
        </w:rPr>
      </w:r>
    </w:p>
    <w:p>
      <w:pPr>
        <w:pStyle w:val="ListParagraph"/>
        <w:numPr>
          <w:ilvl w:val="0"/>
          <w:numId w:val="2"/>
        </w:numPr>
        <w:shd w:val="clear" w:color="auto" w:fill="FFFFFF"/>
        <w:tabs>
          <w:tab w:val="clear" w:pos="708"/>
          <w:tab w:val="left" w:pos="284" w:leader="none"/>
        </w:tabs>
        <w:ind w:hanging="0" w:left="0"/>
        <w:jc w:val="center"/>
        <w:rPr>
          <w:b/>
          <w:bCs/>
        </w:rPr>
      </w:pPr>
      <w:r>
        <w:rPr>
          <w:b/>
          <w:bCs/>
        </w:rPr>
        <w:t>Порядок сдачи-приемки Работ</w:t>
      </w:r>
    </w:p>
    <w:p>
      <w:pPr>
        <w:pStyle w:val="ListParagraph"/>
        <w:numPr>
          <w:ilvl w:val="1"/>
          <w:numId w:val="2"/>
        </w:numPr>
        <w:shd w:val="clear" w:color="auto" w:fill="FFFFFF"/>
        <w:tabs>
          <w:tab w:val="clear" w:pos="708"/>
          <w:tab w:val="left" w:pos="1134" w:leader="none"/>
        </w:tabs>
        <w:ind w:firstLine="709" w:left="0"/>
        <w:jc w:val="both"/>
        <w:rPr>
          <w:bCs/>
          <w:highlight w:val="lightGray"/>
        </w:rPr>
      </w:pPr>
      <w:bookmarkStart w:id="21" w:name="_Ref361335138"/>
      <w:bookmarkStart w:id="22" w:name="_Ref373242517"/>
      <w:bookmarkStart w:id="23" w:name="_Ref361336754"/>
      <w:r>
        <w:rPr>
          <w:bCs/>
          <w:highlight w:val="lightGray"/>
        </w:rPr>
        <w:t xml:space="preserve">По завершении выполнения Работ по каждому этапу Проектных работ Подрядчик </w:t>
        <w:br/>
        <w:t xml:space="preserve">в течение 5 (пяти) рабочих дней представляет Заказчику подписанный со своей стороны </w:t>
        <w:br/>
        <w:t xml:space="preserve">в 2 (двух) экземплярах Акт сдачи-приемки Проектных работ по форме Приложения № 8 </w:t>
        <w:br/>
        <w:t>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pPr>
        <w:pStyle w:val="ListParagraph"/>
        <w:shd w:val="clear" w:color="auto" w:fill="FFFFFF"/>
        <w:tabs>
          <w:tab w:val="clear" w:pos="708"/>
          <w:tab w:val="left" w:pos="1134" w:leader="none"/>
        </w:tabs>
        <w:ind w:firstLine="709" w:left="0"/>
        <w:jc w:val="both"/>
        <w:rPr>
          <w:highlight w:val="none"/>
          <w:shd w:fill="FFFF00" w:val="clear"/>
        </w:rPr>
      </w:pPr>
      <w:r>
        <w:rPr>
          <w:rFonts w:ascii="Liberation Serif" w:hAnsi="Liberation Serif"/>
          <w:b w:val="false"/>
          <w:bCs w:val="false"/>
          <w:caps w:val="false"/>
          <w:smallCaps w:val="false"/>
          <w:sz w:val="24"/>
          <w:szCs w:val="24"/>
          <w:shd w:fill="FFFF00" w:val="clear"/>
          <w:lang w:eastAsia="en-US"/>
        </w:rPr>
        <w:t xml:space="preserve">При использовании Сторонами электронного документооборота, Стороны по договору вместо </w:t>
      </w:r>
      <w:r>
        <w:rPr>
          <w:rFonts w:ascii="Liberation Serif" w:hAnsi="Liberation Serif"/>
          <w:b w:val="false"/>
          <w:bCs/>
          <w:caps w:val="false"/>
          <w:smallCaps w:val="false"/>
          <w:sz w:val="24"/>
          <w:szCs w:val="24"/>
          <w:shd w:fill="FFFF00" w:val="clear"/>
          <w:lang w:eastAsia="en-US"/>
        </w:rPr>
        <w:t>Акта сдачи-приемки Проектных работ по форме Приложения № 8</w:t>
      </w:r>
      <w:r>
        <w:rPr>
          <w:rFonts w:ascii="Liberation Serif" w:hAnsi="Liberation Serif"/>
          <w:b w:val="false"/>
          <w:bCs w:val="false"/>
          <w:caps w:val="false"/>
          <w:smallCaps w:val="false"/>
          <w:sz w:val="24"/>
          <w:szCs w:val="24"/>
          <w:shd w:fill="FFFF00" w:val="clear"/>
          <w:lang w:eastAsia="en-US"/>
        </w:rPr>
        <w:t xml:space="preserve">  оформляют УПД</w:t>
      </w:r>
      <w:r>
        <w:rPr>
          <w:rStyle w:val="FootnoteReference"/>
          <w:rFonts w:ascii="Liberation Serif" w:hAnsi="Liberation Serif"/>
          <w:b w:val="false"/>
          <w:bCs w:val="false"/>
          <w:caps w:val="false"/>
          <w:smallCaps w:val="false"/>
          <w:sz w:val="24"/>
          <w:szCs w:val="24"/>
          <w:shd w:fill="FFFF00" w:val="clear"/>
          <w:lang w:eastAsia="en-US"/>
        </w:rPr>
        <w:footnoteReference w:id="21"/>
      </w:r>
      <w:r>
        <w:rPr>
          <w:rFonts w:ascii="Liberation Serif" w:hAnsi="Liberation Serif"/>
          <w:b w:val="false"/>
          <w:bCs w:val="false"/>
          <w:caps w:val="false"/>
          <w:smallCaps w:val="false"/>
          <w:sz w:val="24"/>
          <w:szCs w:val="24"/>
          <w:shd w:fill="FFFF00" w:val="clear"/>
          <w:lang w:eastAsia="en-US"/>
        </w:rPr>
        <w:t xml:space="preserve">. В этом случае условия Договора в отношении </w:t>
      </w:r>
      <w:r>
        <w:rPr>
          <w:rFonts w:ascii="Liberation Serif" w:hAnsi="Liberation Serif"/>
          <w:b w:val="false"/>
          <w:bCs/>
          <w:caps w:val="false"/>
          <w:smallCaps w:val="false"/>
          <w:sz w:val="24"/>
          <w:szCs w:val="24"/>
          <w:shd w:fill="FFFF00" w:val="clear"/>
          <w:lang w:eastAsia="en-US"/>
        </w:rPr>
        <w:t>Акта сдачи-приемки Проектных работ</w:t>
      </w:r>
      <w:r>
        <w:rPr>
          <w:rFonts w:ascii="Liberation Serif" w:hAnsi="Liberation Serif"/>
          <w:b w:val="false"/>
          <w:bCs w:val="false"/>
          <w:caps w:val="false"/>
          <w:smallCaps w:val="false"/>
          <w:sz w:val="24"/>
          <w:szCs w:val="24"/>
          <w:shd w:fill="FFFF00" w:val="clear"/>
          <w:lang w:eastAsia="en-US"/>
        </w:rPr>
        <w:t xml:space="preserve"> применяются в равной степени к УПД.</w:t>
      </w:r>
    </w:p>
    <w:p>
      <w:pPr>
        <w:pStyle w:val="ListParagraph"/>
        <w:numPr>
          <w:ilvl w:val="1"/>
          <w:numId w:val="2"/>
        </w:numPr>
        <w:shd w:val="clear" w:color="auto" w:fill="FFFFFF"/>
        <w:tabs>
          <w:tab w:val="clear" w:pos="708"/>
          <w:tab w:val="left" w:pos="709" w:leader="none"/>
          <w:tab w:val="left" w:pos="1134" w:leader="none"/>
        </w:tabs>
        <w:ind w:firstLine="709" w:left="0"/>
        <w:jc w:val="both"/>
        <w:rPr/>
      </w:pPr>
      <w:r>
        <w:rPr>
          <w:bCs/>
        </w:rPr>
        <w:t xml:space="preserve">По завершении выполнения работ по каждому Этапу Работ </w:t>
      </w:r>
      <w:r>
        <w:rPr>
          <w:bCs/>
          <w:highlight w:val="lightGray"/>
        </w:rPr>
        <w:t>(кроме Проектных работ)</w:t>
      </w:r>
      <w:r>
        <w:rPr>
          <w:bCs/>
        </w:rPr>
        <w:t xml:space="preserve">, указанного в Календарном графике  выполнения Работ (Приложение № 2 к Договору), Подрядчик в течение </w:t>
      </w:r>
      <w:r>
        <w:rPr>
          <w:bCs/>
          <w:highlight w:val="lightGray"/>
        </w:rPr>
        <w:t>5</w:t>
      </w:r>
      <w:r>
        <w:rPr>
          <w:highlight w:val="lightGray"/>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9 к Договору,</w:t>
      </w:r>
      <w:r>
        <w:rPr/>
        <w:t xml:space="preserve"> </w:t>
      </w:r>
      <w:r>
        <w:rPr>
          <w:bCs/>
        </w:rPr>
        <w:t xml:space="preserve">с приложением Приемо-сдаточной и Исполнительной документации </w:t>
      </w:r>
      <w:r>
        <w:rPr/>
        <w:t xml:space="preserve">в </w:t>
      </w:r>
      <w:r>
        <w:rPr>
          <w:highlight w:val="lightGray"/>
        </w:rPr>
        <w:t>3 (трех)</w:t>
      </w:r>
      <w:bookmarkEnd w:id="21"/>
      <w:bookmarkEnd w:id="22"/>
      <w:bookmarkEnd w:id="23"/>
      <w:r>
        <w:rPr/>
        <w:t xml:space="preserve"> экземплярах.</w:t>
      </w:r>
    </w:p>
    <w:p>
      <w:pPr>
        <w:pStyle w:val="ListParagraph"/>
        <w:numPr>
          <w:ilvl w:val="1"/>
          <w:numId w:val="2"/>
        </w:numPr>
        <w:shd w:val="clear" w:color="auto" w:fill="FFFFFF"/>
        <w:tabs>
          <w:tab w:val="clear" w:pos="708"/>
          <w:tab w:val="left" w:pos="1134" w:leader="none"/>
        </w:tabs>
        <w:ind w:firstLine="709" w:left="0"/>
        <w:jc w:val="both"/>
        <w:rPr/>
      </w:pPr>
      <w:r>
        <w:rPr>
          <w:bCs/>
        </w:rPr>
        <w:t xml:space="preserve">По завершении выполнения Работ в отношении </w:t>
      </w:r>
      <w:r>
        <w:rPr>
          <w:highlight w:val="lightGray"/>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6"/>
        </w:numPr>
        <w:shd w:val="clear" w:color="auto" w:fill="FFFFFF"/>
        <w:tabs>
          <w:tab w:val="clear" w:pos="708"/>
          <w:tab w:val="left" w:pos="1418" w:leader="none"/>
        </w:tabs>
        <w:ind w:firstLine="709" w:left="0"/>
        <w:jc w:val="both"/>
        <w:rPr/>
      </w:pPr>
      <w:r>
        <w:rPr/>
        <w:t xml:space="preserve">Акт КС-2, Справку КС-3 в отношении </w:t>
      </w:r>
      <w:r>
        <w:rPr>
          <w:highlight w:val="lightGray"/>
        </w:rPr>
        <w:t>каждого</w:t>
      </w:r>
      <w:r>
        <w:rPr/>
        <w:t xml:space="preserve"> Объекта</w:t>
      </w:r>
      <w:r>
        <w:rPr>
          <w:bCs/>
        </w:rPr>
        <w:t xml:space="preserve"> н</w:t>
      </w:r>
      <w:r>
        <w:rPr/>
        <w:t xml:space="preserve">а весь объем выполненных работ по Объекту в 2 (двух) экземплярах,  </w:t>
      </w:r>
      <w:r>
        <w:rPr>
          <w:shd w:fill="FFFFFF" w:val="clear"/>
        </w:rPr>
        <w:t xml:space="preserve">а также электронные версии Акта </w:t>
        <w:br/>
        <w:t xml:space="preserve">КС-2 и Справки КС-3 в формате *gsfx ПК «ГРАНД Сметы» на цифровом носителе; </w:t>
      </w:r>
    </w:p>
    <w:p>
      <w:pPr>
        <w:pStyle w:val="ListParagraph"/>
        <w:numPr>
          <w:ilvl w:val="0"/>
          <w:numId w:val="16"/>
        </w:numPr>
        <w:shd w:val="clear" w:color="auto" w:fill="FFFFFF"/>
        <w:tabs>
          <w:tab w:val="clear" w:pos="708"/>
          <w:tab w:val="left" w:pos="1418" w:leader="none"/>
        </w:tabs>
        <w:ind w:firstLine="709" w:left="0"/>
        <w:jc w:val="both"/>
        <w:rPr/>
      </w:pPr>
      <w:r>
        <w:rPr>
          <w:bCs/>
        </w:rPr>
        <w:t>А</w:t>
      </w:r>
      <w:r>
        <w:rPr/>
        <w:t>кт КС-11 в 2 (двух) экземплярах;</w:t>
      </w:r>
    </w:p>
    <w:p>
      <w:pPr>
        <w:pStyle w:val="ListParagraph"/>
        <w:numPr>
          <w:ilvl w:val="0"/>
          <w:numId w:val="16"/>
        </w:numPr>
        <w:shd w:val="clear" w:color="auto" w:fill="FFFFFF"/>
        <w:tabs>
          <w:tab w:val="clear" w:pos="708"/>
          <w:tab w:val="left" w:pos="1418" w:leader="none"/>
        </w:tabs>
        <w:ind w:firstLine="709" w:left="0"/>
        <w:jc w:val="both"/>
        <w:rPr/>
      </w:pPr>
      <w:bookmarkStart w:id="24" w:name="_Ref361336865"/>
      <w:r>
        <w:rPr>
          <w:highlight w:val="lightGray"/>
        </w:rPr>
        <w:t>Акт КС-14 (при необходимости) в 2 (двух) экземплярах</w:t>
      </w:r>
      <w:bookmarkEnd w:id="24"/>
      <w:r>
        <w:rPr/>
        <w:t>.</w:t>
      </w:r>
    </w:p>
    <w:p>
      <w:pPr>
        <w:pStyle w:val="ListParagraph"/>
        <w:numPr>
          <w:ilvl w:val="1"/>
          <w:numId w:val="2"/>
        </w:numPr>
        <w:shd w:val="clear" w:color="auto" w:fill="FFFFFF"/>
        <w:tabs>
          <w:tab w:val="clear" w:pos="708"/>
          <w:tab w:val="left" w:pos="568" w:leader="none"/>
          <w:tab w:val="left" w:pos="1134" w:leader="none"/>
        </w:tabs>
        <w:ind w:firstLine="709" w:left="0"/>
        <w:jc w:val="both"/>
        <w:rPr/>
      </w:pPr>
      <w:r>
        <w:rPr>
          <w:bCs/>
        </w:rPr>
        <w:t xml:space="preserve">В течение 15 (пятнадцати) рабочих дней с даты получения полного комплекта документов, указанных в пунктах </w:t>
      </w:r>
      <w:r>
        <w:rPr/>
        <w:fldChar w:fldCharType="begin"/>
      </w:r>
      <w:r>
        <w:rPr/>
        <w:instrText xml:space="preserve"> REF _Ref361335138 \r \h </w:instrText>
      </w:r>
      <w:r>
        <w:rPr/>
        <w:fldChar w:fldCharType="separate"/>
      </w:r>
      <w:r>
        <w:rPr/>
        <w:t>4.1</w:t>
      </w:r>
      <w:r>
        <w:rPr/>
        <w:fldChar w:fldCharType="end"/>
      </w:r>
      <w:r>
        <w:rPr>
          <w:bCs/>
        </w:rPr>
        <w:t>-</w:t>
      </w:r>
      <w:r>
        <w:rPr/>
        <w:fldChar w:fldCharType="begin"/>
      </w:r>
      <w:r>
        <w:rPr/>
        <w:instrText xml:space="preserve"> REF _Ref361336865 \r \h </w:instrText>
      </w:r>
      <w:r>
        <w:rPr/>
        <w:fldChar w:fldCharType="separate"/>
      </w:r>
      <w:r>
        <w:rPr/>
      </w:r>
      <w:r>
        <w:rPr/>
        <w:fldChar w:fldCharType="end"/>
      </w:r>
      <w:r>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
        </w:numPr>
        <w:shd w:val="clear" w:color="auto" w:fill="FFFFFF"/>
        <w:tabs>
          <w:tab w:val="clear" w:pos="708"/>
          <w:tab w:val="left" w:pos="568" w:leader="none"/>
          <w:tab w:val="left" w:pos="1134" w:leader="none"/>
        </w:tabs>
        <w:ind w:firstLine="709" w:left="0"/>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
        </w:numPr>
        <w:shd w:val="clear" w:color="auto" w:fill="FFFFFF"/>
        <w:tabs>
          <w:tab w:val="clear" w:pos="708"/>
          <w:tab w:val="left" w:pos="1134" w:leader="none"/>
        </w:tabs>
        <w:ind w:firstLine="709" w:left="0"/>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4.3 Договора.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br/>
        <w:t xml:space="preserve">по устранению недостатков, выявленных в ходе приемки результатов Работ, с отнесением </w:t>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708"/>
          <w:tab w:val="left" w:pos="1134" w:leader="none"/>
        </w:tabs>
        <w:ind w:firstLine="709" w:left="0"/>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
        </w:numPr>
        <w:shd w:val="clear" w:color="auto" w:fill="FFFFFF"/>
        <w:tabs>
          <w:tab w:val="clear" w:pos="708"/>
          <w:tab w:val="left" w:pos="1134" w:leader="none"/>
        </w:tabs>
        <w:ind w:firstLine="709" w:left="0"/>
        <w:jc w:val="both"/>
        <w:rPr>
          <w:bCs/>
        </w:rPr>
      </w:pPr>
      <w:bookmarkStart w:id="25" w:name="_Ref361337635"/>
      <w:bookmarkEnd w:id="25"/>
      <w:r>
        <w:rPr>
          <w:bCs/>
        </w:rPr>
        <w:t>Подрядчик обязан представить Заказчику счета-фактуры (УПД),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0"/>
          <w:numId w:val="0"/>
        </w:numPr>
        <w:shd w:val="clear" w:color="auto" w:fill="FFFFFF"/>
        <w:tabs>
          <w:tab w:val="clear" w:pos="708"/>
          <w:tab w:val="left" w:pos="1134" w:leader="none"/>
        </w:tabs>
        <w:ind w:hanging="0" w:left="0"/>
        <w:jc w:val="both"/>
        <w:rPr>
          <w:bCs/>
        </w:rPr>
      </w:pPr>
      <w:r>
        <w:rPr>
          <w:bCs/>
        </w:rPr>
      </w:r>
    </w:p>
    <w:p>
      <w:pPr>
        <w:pStyle w:val="ListParagraph"/>
        <w:numPr>
          <w:ilvl w:val="0"/>
          <w:numId w:val="2"/>
        </w:numPr>
        <w:shd w:val="clear" w:color="auto" w:fill="FFFFFF"/>
        <w:tabs>
          <w:tab w:val="clear" w:pos="708"/>
          <w:tab w:val="left" w:pos="284" w:leader="none"/>
        </w:tabs>
        <w:ind w:hanging="0" w:left="0"/>
        <w:jc w:val="center"/>
        <w:rPr>
          <w:b/>
          <w:bCs/>
        </w:rPr>
      </w:pPr>
      <w:r>
        <w:rPr>
          <w:b/>
          <w:bCs/>
        </w:rPr>
        <w:t>Право собственности и переход рисков</w:t>
      </w:r>
    </w:p>
    <w:p>
      <w:pPr>
        <w:pStyle w:val="ListParagraph"/>
        <w:numPr>
          <w:ilvl w:val="1"/>
          <w:numId w:val="2"/>
        </w:numPr>
        <w:shd w:val="clear" w:color="auto" w:fill="FFFFFF"/>
        <w:tabs>
          <w:tab w:val="clear" w:pos="708"/>
          <w:tab w:val="left" w:pos="1134" w:leader="none"/>
        </w:tabs>
        <w:ind w:firstLine="709" w:left="0"/>
        <w:jc w:val="both"/>
        <w:rPr>
          <w:bCs/>
        </w:rPr>
      </w:pPr>
      <w:bookmarkStart w:id="26" w:name="_Ref361405028"/>
      <w:r>
        <w:rPr>
          <w:bCs/>
          <w:highlight w:val="lightGray"/>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8 к Договору</w:t>
      </w:r>
      <w:r>
        <w:rPr>
          <w:bCs/>
        </w:rPr>
        <w:t>.</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Риск случайной гибели или повреждения Результата Работ </w:t>
      </w:r>
      <w:r>
        <w:rPr>
          <w:bCs/>
          <w:highlight w:val="lightGray"/>
        </w:rPr>
        <w:t>(кроме Проектных работ)</w:t>
      </w:r>
      <w:r>
        <w:rPr>
          <w:bCs/>
        </w:rPr>
        <w:t xml:space="preserve"> в отношении каждого Объекта, включая Материально-технические ресурсы, переходит к Заказчику с момента подписания соответствующего Акта </w:t>
      </w:r>
      <w:r>
        <w:rPr/>
        <w:t>КС-11</w:t>
      </w:r>
      <w:bookmarkEnd w:id="26"/>
      <w:r>
        <w:rPr>
          <w:bCs/>
        </w:rPr>
        <w:t>. До подписания Сторонами указанного Акта риск случайной гибели или повреждения Результата Работ по Объекту, включая Материально-технические ресурсы, несет Подрядчик.</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2"/>
        </w:numPr>
        <w:shd w:val="clear" w:color="auto" w:fill="FFFFFF"/>
        <w:tabs>
          <w:tab w:val="clear" w:pos="708"/>
          <w:tab w:val="left" w:pos="1134" w:leader="none"/>
        </w:tabs>
        <w:ind w:firstLine="709" w:left="0"/>
        <w:jc w:val="both"/>
        <w:rPr>
          <w:bCs/>
        </w:rPr>
      </w:pPr>
      <w:r>
        <w:rPr>
          <w:bCs/>
        </w:rPr>
        <w:t>Подписание</w:t>
      </w:r>
      <w:r>
        <w:rPr>
          <w:iCs/>
        </w:rPr>
        <w:t xml:space="preserve"> Заказчиком </w:t>
      </w:r>
      <w:r>
        <w:rPr>
          <w:bCs/>
        </w:rPr>
        <w:t xml:space="preserve">Акта </w:t>
      </w:r>
      <w:r>
        <w:rPr/>
        <w:t xml:space="preserve">КС-11 </w:t>
      </w:r>
      <w:r>
        <w:rPr>
          <w:iCs/>
        </w:rPr>
        <w:t xml:space="preserve">означает приемку выполненных Работ </w:t>
        <w:br/>
        <w:t xml:space="preserve">по Объекту и вступление в силу положений Договора, касающихся гарантий качества. </w:t>
        <w:br/>
        <w:t xml:space="preserve">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w:t>
        <w:br/>
        <w:t>от ответственности за Результат Работ по Договору в целом.</w:t>
      </w:r>
    </w:p>
    <w:p>
      <w:pPr>
        <w:pStyle w:val="ListParagraph"/>
        <w:numPr>
          <w:ilvl w:val="0"/>
          <w:numId w:val="0"/>
        </w:numPr>
        <w:shd w:val="clear" w:color="auto" w:fill="FFFFFF"/>
        <w:tabs>
          <w:tab w:val="clear" w:pos="708"/>
          <w:tab w:val="left" w:pos="1134" w:leader="none"/>
        </w:tabs>
        <w:ind w:hanging="0" w:left="0"/>
        <w:jc w:val="both"/>
        <w:rPr>
          <w:bCs/>
        </w:rPr>
      </w:pPr>
      <w:r>
        <w:rPr>
          <w:bCs/>
        </w:rPr>
      </w:r>
    </w:p>
    <w:p>
      <w:pPr>
        <w:pStyle w:val="ListParagraph"/>
        <w:numPr>
          <w:ilvl w:val="0"/>
          <w:numId w:val="2"/>
        </w:numPr>
        <w:shd w:val="clear" w:color="auto" w:fill="FFFFFF"/>
        <w:tabs>
          <w:tab w:val="clear" w:pos="708"/>
          <w:tab w:val="left" w:pos="284" w:leader="none"/>
        </w:tabs>
        <w:ind w:hanging="0" w:left="0"/>
        <w:jc w:val="center"/>
        <w:rPr>
          <w:b/>
          <w:bCs/>
        </w:rPr>
      </w:pPr>
      <w:r>
        <w:rPr>
          <w:b/>
          <w:bCs/>
        </w:rPr>
        <w:t>Банковские гарантии</w:t>
      </w:r>
    </w:p>
    <w:p>
      <w:pPr>
        <w:pStyle w:val="ListParagraph"/>
        <w:numPr>
          <w:ilvl w:val="1"/>
          <w:numId w:val="2"/>
        </w:numPr>
        <w:shd w:val="clear" w:color="auto" w:fill="FFFFFF"/>
        <w:tabs>
          <w:tab w:val="clear" w:pos="708"/>
          <w:tab w:val="left" w:pos="1134" w:leader="none"/>
        </w:tabs>
        <w:ind w:firstLine="709" w:left="0"/>
        <w:jc w:val="both"/>
        <w:rPr>
          <w:highlight w:val="white"/>
        </w:rPr>
      </w:pPr>
      <w:r>
        <w:rPr>
          <w:bCs/>
          <w:shd w:fill="FFFFFF" w:val="clear"/>
        </w:rPr>
        <w:t>Банковская гарантия, предоставляемая Подрядчиком Заказчику по Договору, должна соответствовать следующим требованиям:</w:t>
      </w:r>
    </w:p>
    <w:p>
      <w:pPr>
        <w:pStyle w:val="ListParagraph"/>
        <w:numPr>
          <w:ilvl w:val="2"/>
          <w:numId w:val="2"/>
        </w:numPr>
        <w:shd w:val="clear" w:color="auto" w:fill="FFFFFF"/>
        <w:tabs>
          <w:tab w:val="clear" w:pos="708"/>
          <w:tab w:val="left" w:pos="1418" w:leader="none"/>
        </w:tabs>
        <w:ind w:firstLine="709" w:left="0"/>
        <w:jc w:val="both"/>
        <w:rPr>
          <w:bCs/>
        </w:rPr>
      </w:pPr>
      <w:r>
        <w:rPr>
          <w:bCs/>
          <w:shd w:fill="FFFFFF" w:val="clear"/>
        </w:rPr>
        <w:t>Банковская гарантия должна б</w:t>
      </w:r>
      <w:r>
        <w:rPr>
          <w:bCs/>
        </w:rPr>
        <w:t xml:space="preserve">ыть безотзывной и безусловной (гарантия </w:t>
        <w:br/>
        <w:t>по первому требованию).</w:t>
      </w:r>
    </w:p>
    <w:p>
      <w:pPr>
        <w:pStyle w:val="ListParagraph"/>
        <w:numPr>
          <w:ilvl w:val="2"/>
          <w:numId w:val="2"/>
        </w:numPr>
        <w:shd w:val="clear" w:color="auto" w:fill="FFFFFF"/>
        <w:tabs>
          <w:tab w:val="clear" w:pos="708"/>
          <w:tab w:val="left" w:pos="1418" w:leader="none"/>
        </w:tabs>
        <w:ind w:firstLine="709" w:left="0"/>
        <w:jc w:val="both"/>
        <w:rPr>
          <w:bCs/>
        </w:rPr>
      </w:pPr>
      <w:r>
        <w:rPr>
          <w:bCs/>
        </w:rPr>
        <w:t>Бенефициар по Банковской гарантии – Заказчик, принципал – Подрядчик.</w:t>
      </w:r>
    </w:p>
    <w:p>
      <w:pPr>
        <w:pStyle w:val="ListParagraph"/>
        <w:numPr>
          <w:ilvl w:val="2"/>
          <w:numId w:val="2"/>
        </w:numPr>
        <w:shd w:val="clear" w:color="auto" w:fill="FFFFFF"/>
        <w:tabs>
          <w:tab w:val="clear" w:pos="708"/>
          <w:tab w:val="left" w:pos="1418" w:leader="none"/>
        </w:tabs>
        <w:ind w:firstLine="709" w:left="0"/>
        <w:jc w:val="both"/>
        <w:rPr>
          <w:bCs/>
        </w:rPr>
      </w:pPr>
      <w:r>
        <w:rPr>
          <w:bCs/>
        </w:rPr>
        <w:t>Сумма Банковской гарантии – выражена в валюте расчетов по Договору.</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Сумма Банковской гарантии возврата авансового платежа – не менее 100% </w:t>
        <w:br/>
        <w:t xml:space="preserve">(ста процентов) от размера уплачиваемой по Договору предварительной оплаты (аванса) </w:t>
        <w:br/>
        <w:t xml:space="preserve">в совокупной сумме с учётом ранее выплаченных Подрядчику и неотработанных авансовых платежей. </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Сумма Банковской гарантии надлежащего исполнения обязательств </w:t>
        <w:br/>
        <w:t xml:space="preserve">по Договору в отношении </w:t>
      </w:r>
      <w:r>
        <w:rPr>
          <w:bCs/>
          <w:highlight w:val="lightGray"/>
        </w:rPr>
        <w:t>каждого</w:t>
      </w:r>
      <w:r>
        <w:rPr>
          <w:bCs/>
        </w:rPr>
        <w:t xml:space="preserve"> Объекта – не менее 10% (десяти процентов) от </w:t>
      </w:r>
      <w:r>
        <w:rPr>
          <w:bCs/>
          <w:highlight w:val="lightGray"/>
        </w:rPr>
        <w:t>Цены Договора / соответствующего Объекта</w:t>
      </w:r>
      <w:r>
        <w:rPr>
          <w:bCs/>
        </w:rPr>
        <w:t>.</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br/>
        <w:t>о предъявлении суммы обеспечения к оплате</w:t>
      </w:r>
      <w:r>
        <w:rPr/>
        <w:t xml:space="preserve"> </w:t>
      </w:r>
      <w:r>
        <w:rPr>
          <w:bCs/>
        </w:rPr>
        <w:t xml:space="preserve">как полностью, так и частично, с указанием </w:t>
        <w:br/>
        <w:t>на существо допущенных Подрядчиком нарушений, в том числе в случаях:</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отказа Подрядчика от возврата неотработанного аванса при досрочном прекращении Договора/признании Договора недействительным;</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нарушения Подрядчиком сроков</w:t>
      </w:r>
      <w:r>
        <w:rPr/>
        <w:t xml:space="preserve"> </w:t>
      </w:r>
      <w:r>
        <w:rPr>
          <w:bCs/>
          <w:sz w:val="24"/>
          <w:szCs w:val="24"/>
        </w:rPr>
        <w:t>выполнения Работ и поставки Оборудования, установленных Календарным графиком выполнения Работ (Приложение № 2 к Договору) более, чем на 60 (шестьдесят) календарных дней;</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 xml:space="preserve">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w:t>
        <w:br/>
        <w:t>по Договору;</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 xml:space="preserve">прекращения членства в СРО, основанной на членстве лиц, </w:t>
      </w:r>
      <w:r>
        <w:rPr>
          <w:bCs/>
          <w:sz w:val="24"/>
          <w:szCs w:val="24"/>
          <w:shd w:fill="FFFFFF" w:val="clear"/>
        </w:rPr>
        <w:t>выполняющих</w:t>
      </w:r>
      <w:r>
        <w:rPr>
          <w:bCs/>
          <w:sz w:val="24"/>
          <w:szCs w:val="24"/>
        </w:rPr>
        <w:t xml:space="preserve"> </w:t>
      </w:r>
      <w:r>
        <w:rPr>
          <w:bCs/>
          <w:sz w:val="24"/>
          <w:szCs w:val="24"/>
          <w:highlight w:val="lightGray"/>
        </w:rPr>
        <w:t>инженерные изыскания / подготовку проектной документации или / осуществляющих строительство</w:t>
      </w:r>
      <w:r>
        <w:rPr>
          <w:bCs/>
          <w:sz w:val="24"/>
          <w:szCs w:val="24"/>
        </w:rPr>
        <w:t>;</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введения арбитражным судом процедуры несостоятельности (банкротства)</w:t>
      </w:r>
      <w:r>
        <w:rPr/>
        <w:t xml:space="preserve"> </w:t>
        <w:br/>
      </w:r>
      <w:r>
        <w:rPr>
          <w:bCs/>
          <w:sz w:val="24"/>
          <w:szCs w:val="24"/>
        </w:rPr>
        <w:t>в отношении Подрядчика;</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 xml:space="preserve">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pPr>
        <w:pStyle w:val="Normal"/>
        <w:numPr>
          <w:ilvl w:val="0"/>
          <w:numId w:val="3"/>
        </w:numPr>
        <w:tabs>
          <w:tab w:val="clear" w:pos="708"/>
          <w:tab w:val="left" w:pos="1418" w:leader="none"/>
        </w:tabs>
        <w:spacing w:lineRule="auto" w:line="240"/>
        <w:ind w:firstLine="709" w:left="0"/>
        <w:rPr>
          <w:bCs/>
          <w:sz w:val="24"/>
          <w:szCs w:val="24"/>
        </w:rPr>
      </w:pPr>
      <w:r>
        <w:rPr>
          <w:color w:val="000000"/>
          <w:sz w:val="24"/>
          <w:szCs w:val="24"/>
        </w:rPr>
        <w:t>признания Договора недействительным по причинам отсутствия необходимых</w:t>
      </w:r>
      <w:r>
        <w:rPr>
          <w:sz w:val="24"/>
          <w:szCs w:val="24"/>
        </w:rPr>
        <w:t xml:space="preserve"> корпоративных одобрений у Подрядчика;</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15 Договора, и имеющих существенное значение для его заключения и исполнения.</w:t>
      </w:r>
    </w:p>
    <w:p>
      <w:pPr>
        <w:pStyle w:val="ListParagraph"/>
        <w:ind w:firstLine="709" w:left="0"/>
        <w:jc w:val="both"/>
        <w:rPr>
          <w:bCs/>
        </w:rPr>
      </w:pPr>
      <w:r>
        <w:rPr>
          <w:bCs/>
        </w:rPr>
        <w:t>Вместе с требованием о предъявлении суммы обеспечения к оплате Заказчик направляет Банку-Гаранту коп</w:t>
      </w:r>
      <w:r>
        <w:rPr>
          <w:bCs/>
          <w:shd w:fill="FFFFFF" w:val="clear"/>
        </w:rPr>
        <w:t>ию Банковской гарантии.</w:t>
      </w:r>
    </w:p>
    <w:p>
      <w:pPr>
        <w:pStyle w:val="ListParagraph"/>
        <w:shd w:val="clear" w:color="auto" w:fill="FFFFFF"/>
        <w:tabs>
          <w:tab w:val="clear" w:pos="708"/>
          <w:tab w:val="left" w:pos="1418" w:leader="none"/>
        </w:tabs>
        <w:ind w:firstLine="709" w:left="0"/>
        <w:jc w:val="both"/>
        <w:rPr>
          <w:highlight w:val="white"/>
        </w:rPr>
      </w:pPr>
      <w:r>
        <w:rPr>
          <w:bCs/>
          <w:shd w:fill="FFFFFF" w:val="clear"/>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br/>
        <w:t>к оплате платежного поручения Заказчика, подтверждающего факт осуществления Заказчиком авансового платежа, с отметкой банка об исполнении.</w:t>
      </w:r>
    </w:p>
    <w:p>
      <w:pPr>
        <w:pStyle w:val="ListParagraph"/>
        <w:numPr>
          <w:ilvl w:val="2"/>
          <w:numId w:val="2"/>
        </w:numPr>
        <w:shd w:val="clear" w:color="auto" w:fill="FFFFFF"/>
        <w:tabs>
          <w:tab w:val="clear" w:pos="708"/>
          <w:tab w:val="left" w:pos="1418" w:leader="none"/>
        </w:tabs>
        <w:ind w:firstLine="709" w:left="0"/>
        <w:jc w:val="both"/>
        <w:rPr>
          <w:bCs/>
        </w:rPr>
      </w:pPr>
      <w:r>
        <w:rPr>
          <w:bCs/>
          <w:shd w:fill="FFFFFF" w:val="clear"/>
        </w:rPr>
        <w:t>Платеж по Банковской гарантии – осуществляет</w:t>
      </w:r>
      <w:r>
        <w:rPr>
          <w:bCs/>
        </w:rPr>
        <w:t>ся Банком-Гарантом в течение 10 (десяти) рабочих дней после обращения Заказчика.</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Срок действия Банковской гарантии – не ранее 70 (семидесяти) календарных дней после наступления даты завершения Работ по </w:t>
      </w:r>
      <w:r>
        <w:rPr>
          <w:bCs/>
          <w:highlight w:val="lightGray"/>
        </w:rPr>
        <w:t>Этапу Работ</w:t>
      </w:r>
      <w:r>
        <w:rPr>
          <w:rStyle w:val="FootnoteReference"/>
          <w:bCs/>
          <w:highlight w:val="lightGray"/>
        </w:rPr>
        <w:footnoteReference w:id="22"/>
      </w:r>
      <w:r>
        <w:rPr>
          <w:bCs/>
          <w:highlight w:val="lightGray"/>
        </w:rPr>
        <w:t>/ Договору в целом / соответствующему Объекту</w:t>
      </w:r>
      <w:r>
        <w:rPr>
          <w:bCs/>
        </w:rPr>
        <w:t>, установленной Договором.</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br/>
        <w:t>по Банковской</w:t>
      </w:r>
      <w:r>
        <w:rPr>
          <w:bCs/>
          <w:shd w:fill="FFFFFF" w:val="clear"/>
        </w:rPr>
        <w:t xml:space="preserve"> гарантии.</w:t>
      </w:r>
    </w:p>
    <w:p>
      <w:pPr>
        <w:pStyle w:val="ListParagraph"/>
        <w:numPr>
          <w:ilvl w:val="2"/>
          <w:numId w:val="2"/>
        </w:numPr>
        <w:shd w:val="clear" w:color="auto" w:fill="FFFFFF"/>
        <w:tabs>
          <w:tab w:val="clear" w:pos="708"/>
          <w:tab w:val="left" w:pos="1418" w:leader="none"/>
        </w:tabs>
        <w:ind w:firstLine="709" w:left="0"/>
        <w:jc w:val="both"/>
        <w:rPr>
          <w:highlight w:val="white"/>
        </w:rPr>
      </w:pPr>
      <w:r>
        <w:rPr>
          <w:bCs/>
          <w:shd w:fill="FFFFFF" w:val="clear"/>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pPr>
        <w:pStyle w:val="ListParagraph"/>
        <w:numPr>
          <w:ilvl w:val="2"/>
          <w:numId w:val="2"/>
        </w:numPr>
        <w:shd w:val="clear" w:color="auto" w:fill="FFFFFF"/>
        <w:tabs>
          <w:tab w:val="clear" w:pos="708"/>
          <w:tab w:val="left" w:pos="1418" w:leader="none"/>
        </w:tabs>
        <w:ind w:firstLine="709" w:left="0"/>
        <w:jc w:val="both"/>
        <w:rPr>
          <w:highlight w:val="white"/>
        </w:rPr>
      </w:pPr>
      <w:r>
        <w:rPr>
          <w:bCs/>
          <w:shd w:fill="FFFFFF" w:val="clear"/>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pPr>
        <w:pStyle w:val="Normal"/>
        <w:numPr>
          <w:ilvl w:val="1"/>
          <w:numId w:val="2"/>
        </w:numPr>
        <w:spacing w:lineRule="auto" w:line="240"/>
        <w:ind w:firstLine="709" w:left="0"/>
        <w:rPr>
          <w:bCs/>
          <w:sz w:val="24"/>
          <w:szCs w:val="24"/>
        </w:rPr>
      </w:pPr>
      <w:r>
        <w:rPr>
          <w:bCs/>
          <w:sz w:val="24"/>
          <w:szCs w:val="24"/>
          <w:shd w:fill="FFFFFF" w:val="clear"/>
        </w:rPr>
        <w:t>Банк, выдав</w:t>
      </w:r>
      <w:r>
        <w:rPr>
          <w:bCs/>
          <w:sz w:val="24"/>
          <w:szCs w:val="24"/>
        </w:rPr>
        <w:t xml:space="preserve">ший Банковскую гарантию, должен соответствовать критериям, </w:t>
      </w:r>
      <w:r>
        <w:rPr>
          <w:bCs/>
          <w:sz w:val="24"/>
          <w:szCs w:val="24"/>
          <w:shd w:fill="FFFFFF" w:val="clear"/>
        </w:rPr>
        <w:t xml:space="preserve">установленным в Приложении </w:t>
      </w:r>
      <w:r>
        <w:rPr>
          <w:bCs/>
          <w:sz w:val="24"/>
          <w:szCs w:val="24"/>
        </w:rPr>
        <w:t>№ 11 к Договору.</w:t>
      </w:r>
    </w:p>
    <w:p>
      <w:pPr>
        <w:pStyle w:val="ListParagraph"/>
        <w:numPr>
          <w:ilvl w:val="1"/>
          <w:numId w:val="2"/>
        </w:numPr>
        <w:shd w:val="clear" w:color="auto" w:fill="FFFFFF"/>
        <w:tabs>
          <w:tab w:val="clear" w:pos="708"/>
          <w:tab w:val="left" w:pos="1134" w:leader="none"/>
        </w:tabs>
        <w:ind w:firstLine="709" w:left="0"/>
        <w:jc w:val="both"/>
        <w:rPr>
          <w:bCs/>
        </w:rPr>
      </w:pPr>
      <w:r>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Сумма Банковской гарантии возврата авансового платежа по согласованию </w:t>
        <w:br/>
        <w:t>с Заказчиком может быть уменьшена пропорционально сумме выполненных Подрядчиком обязательств по Договору (соответствующего Этапа Работ / Этапа Проектных работ / Партии Оборудования) при условии подтверждения их выполнения.</w:t>
      </w:r>
    </w:p>
    <w:p>
      <w:pPr>
        <w:pStyle w:val="ListParagraph"/>
        <w:numPr>
          <w:ilvl w:val="1"/>
          <w:numId w:val="2"/>
        </w:numPr>
        <w:shd w:val="clear" w:color="auto" w:fill="FFFFFF"/>
        <w:tabs>
          <w:tab w:val="clear" w:pos="708"/>
          <w:tab w:val="left" w:pos="1134" w:leader="none"/>
        </w:tabs>
        <w:ind w:firstLine="709" w:left="0"/>
        <w:jc w:val="both"/>
        <w:rPr>
          <w:bCs/>
        </w:rPr>
      </w:pPr>
      <w:r>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pPr>
        <w:pStyle w:val="ListParagraph"/>
        <w:numPr>
          <w:ilvl w:val="1"/>
          <w:numId w:val="2"/>
        </w:numPr>
        <w:shd w:val="clear" w:color="auto" w:fill="FFFFFF"/>
        <w:tabs>
          <w:tab w:val="clear" w:pos="708"/>
          <w:tab w:val="left" w:pos="1134" w:leader="none"/>
        </w:tabs>
        <w:ind w:firstLine="709" w:left="0"/>
        <w:jc w:val="both"/>
        <w:rPr>
          <w:bCs/>
        </w:rPr>
      </w:pPr>
      <w:r>
        <w:rPr>
          <w:bCs/>
        </w:rPr>
        <w:t>В случаях</w:t>
      </w:r>
      <w:r>
        <w:rPr>
          <w:bCs/>
          <w:lang w:val="en-US"/>
        </w:rPr>
        <w:t>:</w:t>
      </w:r>
      <w:r>
        <w:rPr>
          <w:bCs/>
        </w:rPr>
        <w:t xml:space="preserve"> </w:t>
      </w:r>
    </w:p>
    <w:p>
      <w:pPr>
        <w:pStyle w:val="ListParagraph"/>
        <w:numPr>
          <w:ilvl w:val="1"/>
          <w:numId w:val="12"/>
        </w:numPr>
        <w:shd w:val="clear" w:color="auto" w:fill="FFFFFF"/>
        <w:tabs>
          <w:tab w:val="clear" w:pos="708"/>
          <w:tab w:val="left" w:pos="1134" w:leader="none"/>
        </w:tabs>
        <w:ind w:firstLine="709" w:left="0"/>
        <w:jc w:val="both"/>
        <w:rPr>
          <w:bCs/>
        </w:rPr>
      </w:pPr>
      <w:r>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pPr>
        <w:pStyle w:val="ListParagraph"/>
        <w:numPr>
          <w:ilvl w:val="1"/>
          <w:numId w:val="12"/>
        </w:numPr>
        <w:shd w:val="clear" w:color="auto" w:fill="FFFFFF"/>
        <w:tabs>
          <w:tab w:val="clear" w:pos="708"/>
          <w:tab w:val="left" w:pos="1134" w:leader="none"/>
        </w:tabs>
        <w:ind w:firstLine="709" w:left="0"/>
        <w:jc w:val="both"/>
        <w:rPr>
          <w:bCs/>
        </w:rPr>
      </w:pPr>
      <w:r>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pPr>
        <w:pStyle w:val="ListParagraph"/>
        <w:shd w:val="clear" w:color="auto" w:fill="FFFFFF"/>
        <w:tabs>
          <w:tab w:val="clear" w:pos="708"/>
          <w:tab w:val="left" w:pos="1134" w:leader="none"/>
        </w:tabs>
        <w:ind w:firstLine="709" w:left="0"/>
        <w:jc w:val="both"/>
        <w:rPr>
          <w:bCs/>
        </w:rPr>
      </w:pPr>
      <w:r>
        <w:rPr>
          <w:bCs/>
        </w:rPr>
        <w:t>Подрядчик обязан предоставить Заказчику новую Банковскую гарантию</w:t>
      </w:r>
      <w:r>
        <w:rPr/>
        <w:t xml:space="preserve"> </w:t>
      </w:r>
      <w:r>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pPr>
        <w:pStyle w:val="ListParagraph"/>
        <w:shd w:val="clear" w:color="auto" w:fill="FFFFFF"/>
        <w:ind w:firstLine="709" w:left="0"/>
        <w:jc w:val="both"/>
        <w:rPr>
          <w:bCs/>
        </w:rPr>
      </w:pPr>
      <w:r>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FootnoteReference"/>
          <w:bCs/>
        </w:rPr>
        <w:footnoteReference w:id="23"/>
      </w:r>
      <w:r>
        <w:rPr>
          <w:bCs/>
        </w:rPr>
        <w:t xml:space="preserve"> при выплате каждого платежа, причитающегося Подрядчику, до полного зачета неотработанного аванса </w:t>
      </w:r>
      <w:r>
        <w:rPr>
          <w:highlight w:val="lightGray"/>
        </w:rPr>
        <w:t>и / или сумму ранее выплаченного Обеспечительного платежа</w:t>
      </w:r>
      <w:r>
        <w:rPr>
          <w:rStyle w:val="FootnoteReference"/>
          <w:highlight w:val="lightGray"/>
        </w:rPr>
        <w:footnoteReference w:id="24"/>
      </w:r>
      <w:r>
        <w:rPr>
          <w:highlight w:val="lightGray"/>
        </w:rPr>
        <w:t xml:space="preserve"> при выплате каждого платежа, причитающегося Подрядчику</w:t>
      </w:r>
      <w:r>
        <w:rPr/>
        <w:t>.</w:t>
      </w:r>
    </w:p>
    <w:p>
      <w:pPr>
        <w:pStyle w:val="ListParagraph"/>
        <w:numPr>
          <w:ilvl w:val="1"/>
          <w:numId w:val="2"/>
        </w:numPr>
        <w:shd w:val="clear" w:color="auto" w:fill="FFFFFF"/>
        <w:tabs>
          <w:tab w:val="clear" w:pos="708"/>
          <w:tab w:val="left" w:pos="1134" w:leader="none"/>
        </w:tabs>
        <w:ind w:firstLine="709" w:left="0"/>
        <w:jc w:val="both"/>
        <w:rPr>
          <w:bCs/>
        </w:rPr>
      </w:pPr>
      <w:r>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pPr>
        <w:pStyle w:val="ListParagraph"/>
        <w:numPr>
          <w:ilvl w:val="1"/>
          <w:numId w:val="2"/>
        </w:numPr>
        <w:shd w:val="clear" w:color="auto" w:fill="FFFFFF"/>
        <w:tabs>
          <w:tab w:val="clear" w:pos="708"/>
          <w:tab w:val="left" w:pos="1134" w:leader="none"/>
        </w:tabs>
        <w:ind w:firstLine="709" w:left="0"/>
        <w:jc w:val="both"/>
        <w:rPr>
          <w:highlight w:val="white"/>
        </w:rPr>
      </w:pPr>
      <w:r>
        <w:rPr>
          <w:bCs/>
          <w:shd w:fill="FFFFFF" w:val="clear"/>
        </w:rPr>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pPr>
        <w:pStyle w:val="ListParagraph"/>
        <w:numPr>
          <w:ilvl w:val="1"/>
          <w:numId w:val="2"/>
        </w:numPr>
        <w:shd w:val="clear" w:color="auto" w:fill="FFFFFF"/>
        <w:tabs>
          <w:tab w:val="clear" w:pos="708"/>
          <w:tab w:val="left" w:pos="1134" w:leader="none"/>
        </w:tabs>
        <w:ind w:firstLine="709" w:left="0"/>
        <w:jc w:val="both"/>
        <w:rPr>
          <w:shd w:fill="FFFF00" w:val="clear"/>
        </w:rPr>
      </w:pPr>
      <w:r>
        <w:rPr>
          <w:bCs/>
          <w:color w:val="000000"/>
          <w:sz w:val="24"/>
          <w:szCs w:val="24"/>
          <w:shd w:fill="FFFF00" w:val="clear"/>
        </w:rPr>
        <w:t xml:space="preserve">Банковской гарантией должно быть предусмотрено условие о праве Бенефициара направлять требование об уплате денежной суммы по банковской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r>
        <w:rPr>
          <w:bCs/>
          <w:color w:val="000000"/>
          <w:sz w:val="24"/>
          <w:szCs w:val="24"/>
          <w:shd w:fill="FFFF00" w:val="clear"/>
          <w:lang w:val="ru-RU"/>
        </w:rPr>
        <w:t>Выбор формы направления такого требования осуществляется Бенефициаром самостоятельно.</w:t>
      </w:r>
    </w:p>
    <w:p>
      <w:pPr>
        <w:pStyle w:val="ListParagraph"/>
        <w:numPr>
          <w:ilvl w:val="1"/>
          <w:numId w:val="2"/>
        </w:numPr>
        <w:shd w:val="clear" w:color="auto" w:fill="FFFFFF"/>
        <w:tabs>
          <w:tab w:val="clear" w:pos="708"/>
          <w:tab w:val="left" w:pos="1134" w:leader="none"/>
        </w:tabs>
        <w:ind w:firstLine="709" w:left="0"/>
        <w:jc w:val="both"/>
        <w:rPr>
          <w:highlight w:val="none"/>
          <w:shd w:fill="FFFF00" w:val="clear"/>
        </w:rPr>
      </w:pPr>
      <w:r>
        <w:rPr>
          <w:rFonts w:eastAsia="Times New Roman" w:cs="Times New Roman"/>
          <w:color w:val="000000"/>
          <w:kern w:val="0"/>
          <w:sz w:val="24"/>
          <w:szCs w:val="24"/>
          <w:shd w:fill="FFFF00" w:val="clear"/>
          <w:lang w:val="ru-RU" w:eastAsia="ru-RU" w:bidi="ar-SA"/>
        </w:rPr>
        <w:t>Банковская гарантия предоставляется:</w:t>
      </w:r>
    </w:p>
    <w:p>
      <w:pPr>
        <w:pStyle w:val="ListParagraph"/>
        <w:numPr>
          <w:ilvl w:val="0"/>
          <w:numId w:val="0"/>
        </w:numPr>
        <w:shd w:val="clear" w:color="auto" w:fill="FFFFFF"/>
        <w:tabs>
          <w:tab w:val="clear" w:pos="708"/>
          <w:tab w:val="left" w:pos="1134" w:leader="none"/>
        </w:tabs>
        <w:ind w:hanging="0" w:left="0"/>
        <w:jc w:val="both"/>
        <w:rPr>
          <w:highlight w:val="none"/>
          <w:shd w:fill="FFFF00" w:val="clear"/>
        </w:rPr>
      </w:pPr>
      <w:r>
        <w:rPr>
          <w:rFonts w:eastAsia="Times New Roman" w:cs="Times New Roman"/>
          <w:color w:val="000000"/>
          <w:kern w:val="0"/>
          <w:sz w:val="24"/>
          <w:szCs w:val="24"/>
          <w:shd w:fill="FFFF00" w:val="clear"/>
          <w:lang w:val="ru-RU" w:eastAsia="ru-RU" w:bidi="ar-SA"/>
        </w:rPr>
        <w:t>-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усиленной квалифицированной электронной подписью уполномоченного представителя Банка-гаранта / иным способом предусмотренным законодательством Российской Федерации;</w:t>
      </w:r>
    </w:p>
    <w:p>
      <w:pPr>
        <w:pStyle w:val="ListParagraph"/>
        <w:numPr>
          <w:ilvl w:val="0"/>
          <w:numId w:val="0"/>
        </w:numPr>
        <w:shd w:val="clear" w:color="auto" w:fill="FFFFFF"/>
        <w:tabs>
          <w:tab w:val="clear" w:pos="708"/>
          <w:tab w:val="left" w:pos="1134" w:leader="none"/>
        </w:tabs>
        <w:ind w:hanging="0" w:left="0"/>
        <w:jc w:val="both"/>
        <w:rPr>
          <w:highlight w:val="none"/>
          <w:shd w:fill="FFFF00" w:val="clear"/>
        </w:rPr>
      </w:pPr>
      <w:r>
        <w:rPr>
          <w:rFonts w:eastAsia="Times New Roman" w:cs="Times New Roman"/>
          <w:color w:val="000000"/>
          <w:kern w:val="0"/>
          <w:sz w:val="24"/>
          <w:szCs w:val="24"/>
          <w:shd w:fill="FFFF00" w:val="clear"/>
          <w:lang w:val="ru-RU" w:eastAsia="ru-RU" w:bidi="ar-SA"/>
        </w:rPr>
        <w:t>либо</w:t>
      </w:r>
    </w:p>
    <w:p>
      <w:pPr>
        <w:pStyle w:val="ListParagraph"/>
        <w:numPr>
          <w:ilvl w:val="0"/>
          <w:numId w:val="0"/>
        </w:numPr>
        <w:shd w:val="clear" w:color="auto" w:fill="FFFFFF"/>
        <w:tabs>
          <w:tab w:val="clear" w:pos="708"/>
          <w:tab w:val="left" w:pos="1134" w:leader="none"/>
        </w:tabs>
        <w:ind w:hanging="0" w:left="0"/>
        <w:jc w:val="both"/>
        <w:rPr>
          <w:highlight w:val="none"/>
          <w:shd w:fill="FFFF00" w:val="clear"/>
        </w:rPr>
      </w:pPr>
      <w:r>
        <w:rPr>
          <w:rFonts w:eastAsia="Times New Roman" w:cs="Times New Roman"/>
          <w:bCs/>
          <w:color w:val="000000"/>
          <w:kern w:val="0"/>
          <w:sz w:val="24"/>
          <w:szCs w:val="24"/>
          <w:shd w:fill="FFFF00" w:val="clear"/>
          <w:lang w:val="ru-RU" w:eastAsia="ru-RU" w:bidi="ar-SA"/>
        </w:rPr>
        <w:t>- в оригинале на бумажном носителе.</w:t>
      </w:r>
    </w:p>
    <w:p>
      <w:pPr>
        <w:pStyle w:val="ListParagraph"/>
        <w:shd w:val="clear" w:color="auto" w:fill="FFFFFF"/>
        <w:tabs>
          <w:tab w:val="clear" w:pos="708"/>
          <w:tab w:val="left" w:pos="1134" w:leader="none"/>
        </w:tabs>
        <w:jc w:val="both"/>
        <w:rPr>
          <w:bCs/>
          <w:shd w:fill="FFFFFF" w:val="clear"/>
        </w:rPr>
      </w:pPr>
      <w:r>
        <w:rPr>
          <w:bCs/>
          <w:shd w:fill="FFFFFF" w:val="clear"/>
        </w:rPr>
      </w:r>
    </w:p>
    <w:p>
      <w:pPr>
        <w:pStyle w:val="ListParagraph"/>
        <w:numPr>
          <w:ilvl w:val="0"/>
          <w:numId w:val="2"/>
        </w:numPr>
        <w:shd w:val="clear" w:color="auto" w:fill="FFFFFF"/>
        <w:tabs>
          <w:tab w:val="clear" w:pos="708"/>
          <w:tab w:val="left" w:pos="284" w:leader="none"/>
        </w:tabs>
        <w:ind w:hanging="0" w:left="0"/>
        <w:jc w:val="center"/>
        <w:rPr>
          <w:b/>
          <w:bCs/>
        </w:rPr>
      </w:pPr>
      <w:r>
        <w:rPr>
          <w:b/>
          <w:bCs/>
        </w:rPr>
        <w:t>Ответственность Сторон</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За неисполнение или ненадлежащее исполнение принятых обязательств </w:t>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br/>
        <w:t>не пред</w:t>
      </w:r>
      <w:r>
        <w:rPr>
          <w:bCs/>
          <w:shd w:fill="FFFFFF" w:val="clear"/>
        </w:rPr>
        <w:t xml:space="preserve">усмотрено иное. </w:t>
      </w:r>
    </w:p>
    <w:p>
      <w:pPr>
        <w:pStyle w:val="Normal"/>
        <w:numPr>
          <w:ilvl w:val="1"/>
          <w:numId w:val="2"/>
        </w:numPr>
        <w:tabs>
          <w:tab w:val="clear" w:pos="708"/>
          <w:tab w:val="left" w:pos="1134" w:leader="none"/>
        </w:tabs>
        <w:spacing w:lineRule="auto" w:line="240"/>
        <w:ind w:firstLine="709" w:left="0"/>
        <w:rPr>
          <w:highlight w:val="white"/>
        </w:rPr>
      </w:pPr>
      <w:r>
        <w:rPr>
          <w:bCs/>
          <w:sz w:val="24"/>
          <w:szCs w:val="24"/>
          <w:shd w:fill="FFFFFF" w:val="clear"/>
        </w:rPr>
        <w:t>Заказчик не несет ответственность за неисполнение/ненадлежащее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2"/>
        </w:numPr>
        <w:tabs>
          <w:tab w:val="clear" w:pos="708"/>
          <w:tab w:val="left" w:pos="1134" w:leader="none"/>
        </w:tabs>
        <w:spacing w:lineRule="auto" w:line="240"/>
        <w:ind w:firstLine="709" w:left="0"/>
        <w:rPr>
          <w:highlight w:val="white"/>
        </w:rPr>
      </w:pPr>
      <w:r>
        <w:rPr>
          <w:sz w:val="24"/>
          <w:szCs w:val="24"/>
          <w:shd w:fill="FFFF00" w:val="clear"/>
        </w:rPr>
        <w:t xml:space="preserve">В случае нарушения Заказчиком сроков оплаты, </w:t>
      </w:r>
      <w:r>
        <w:rPr>
          <w:bCs/>
          <w:sz w:val="24"/>
          <w:szCs w:val="24"/>
          <w:shd w:fill="FFFF00" w:val="clear"/>
        </w:rPr>
        <w:t xml:space="preserve">установленных разделом 4 Договора (за исключением срока оплаты авансовых платежей), </w:t>
      </w:r>
      <w:r>
        <w:rPr>
          <w:sz w:val="24"/>
          <w:szCs w:val="24"/>
          <w:shd w:fill="FFFF00" w:val="clear"/>
        </w:rPr>
        <w:t xml:space="preserve">Подрядчик вправе требовать уплаты Заказчиком исключительной неустойки в размере 0,01 (ноль целых одна сотая) процента от несвоевременно оплаченной суммы за каждый день просрочки, </w:t>
      </w:r>
      <w:r>
        <w:rPr>
          <w:rFonts w:ascii="Liberation Serif" w:hAnsi="Liberation Serif"/>
          <w:sz w:val="24"/>
          <w:szCs w:val="24"/>
          <w:shd w:fill="FFFF00" w:val="clear"/>
        </w:rPr>
        <w:t xml:space="preserve"> </w:t>
      </w:r>
      <w:r>
        <w:rPr>
          <w:rFonts w:eastAsia="Times New Roman" w:ascii="Liberation Serif" w:hAnsi="Liberation Serif"/>
          <w:sz w:val="24"/>
          <w:szCs w:val="24"/>
          <w:shd w:fill="FFFF00" w:val="clear"/>
        </w:rPr>
        <w:t>но не более 5 % от Цены Договора</w:t>
      </w:r>
      <w:r>
        <w:rPr>
          <w:bCs/>
          <w:sz w:val="24"/>
          <w:szCs w:val="24"/>
          <w:shd w:fill="FFFF00" w:val="clear"/>
        </w:rPr>
        <w:t>.</w:t>
      </w:r>
      <w:r>
        <w:rPr>
          <w:bCs/>
          <w:sz w:val="24"/>
          <w:szCs w:val="24"/>
          <w:shd w:fill="auto" w:val="clear"/>
        </w:rPr>
        <w:t xml:space="preserve"> </w:t>
      </w:r>
    </w:p>
    <w:p>
      <w:pPr>
        <w:pStyle w:val="Normal"/>
        <w:numPr>
          <w:ilvl w:val="1"/>
          <w:numId w:val="2"/>
        </w:numPr>
        <w:tabs>
          <w:tab w:val="clear" w:pos="708"/>
          <w:tab w:val="left" w:pos="1134" w:leader="none"/>
        </w:tabs>
        <w:spacing w:lineRule="auto" w:line="240"/>
        <w:ind w:firstLine="709" w:left="0"/>
        <w:rPr>
          <w:highlight w:val="white"/>
        </w:rPr>
      </w:pPr>
      <w:r>
        <w:rPr>
          <w:bCs/>
          <w:sz w:val="24"/>
          <w:szCs w:val="24"/>
          <w:shd w:fill="FFFFFF" w:val="clear"/>
        </w:rPr>
        <w:t xml:space="preserve">В случае </w:t>
      </w:r>
      <w:r>
        <w:rPr>
          <w:sz w:val="24"/>
          <w:szCs w:val="24"/>
          <w:shd w:fill="FFFFFF" w:val="clear"/>
        </w:rPr>
        <w:t>нарушения Подрядчиком обязательств по поставке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2 к Договору), а также в случае несвоевременного устранения выявленных недостатков Оборудования/Результата Работ, Заказчик вправе требовать уплаты Подрядчиком:</w:t>
      </w:r>
    </w:p>
    <w:p>
      <w:pPr>
        <w:pStyle w:val="ListParagraph"/>
        <w:numPr>
          <w:ilvl w:val="2"/>
          <w:numId w:val="2"/>
        </w:numPr>
        <w:tabs>
          <w:tab w:val="clear" w:pos="708"/>
          <w:tab w:val="left" w:pos="1134" w:leader="none"/>
        </w:tabs>
        <w:ind w:firstLine="709" w:left="0"/>
        <w:jc w:val="both"/>
        <w:rPr>
          <w:highlight w:val="white"/>
        </w:rPr>
      </w:pPr>
      <w:r>
        <w:rPr>
          <w:bCs/>
          <w:shd w:fill="FFFFFF" w:val="clear"/>
        </w:rPr>
        <w:t xml:space="preserve">Неустойки в размере </w:t>
      </w:r>
      <w:r>
        <w:rPr>
          <w:rFonts w:eastAsia="Calibri"/>
          <w:bCs/>
          <w:shd w:fill="FFFFFF" w:val="clear"/>
        </w:rPr>
        <w:t xml:space="preserve">0,1 (ноль целых и одна десятая) </w:t>
      </w:r>
      <w:r>
        <w:rPr>
          <w:bCs/>
          <w:shd w:fill="FFFFFF" w:val="clear"/>
        </w:rPr>
        <w:t xml:space="preserve">процента от цены </w:t>
      </w:r>
      <w:r>
        <w:rPr>
          <w:rFonts w:eastAsia="Calibri"/>
          <w:bCs/>
          <w:shd w:fill="FFFFFF" w:val="clear"/>
        </w:rPr>
        <w:t>Партии Оборудования/Этапа Работ</w:t>
      </w:r>
      <w:r>
        <w:rPr>
          <w:bCs/>
          <w:shd w:fill="FFFFFF" w:val="clear"/>
        </w:rPr>
        <w:t xml:space="preserve"> за каждый день просрочки поставки Оборудования / выполнения Работ;</w:t>
      </w:r>
    </w:p>
    <w:p>
      <w:pPr>
        <w:pStyle w:val="ListParagraph"/>
        <w:numPr>
          <w:ilvl w:val="2"/>
          <w:numId w:val="2"/>
        </w:numPr>
        <w:tabs>
          <w:tab w:val="clear" w:pos="708"/>
          <w:tab w:val="left" w:pos="1134" w:leader="none"/>
        </w:tabs>
        <w:ind w:firstLine="709" w:left="0"/>
        <w:jc w:val="both"/>
        <w:rPr>
          <w:bCs/>
        </w:rPr>
      </w:pPr>
      <w:r>
        <w:rPr>
          <w:bCs/>
          <w:shd w:fill="FFFFFF" w:val="clear"/>
        </w:rPr>
        <w:t xml:space="preserve">Неустойки в размере 0,1 </w:t>
      </w:r>
      <w:r>
        <w:rPr>
          <w:shd w:fill="FFFFFF" w:val="clear"/>
        </w:rPr>
        <w:t>(ноль целых и одна десятая) процента</w:t>
      </w:r>
      <w:r>
        <w:rPr>
          <w:bCs/>
          <w:shd w:fill="FFFFFF" w:val="clear"/>
        </w:rPr>
        <w:t xml:space="preserve"> от Цены</w:t>
      </w:r>
      <w:r>
        <w:rPr>
          <w:bCs/>
          <w:shd w:fill="FFFF00" w:val="clear"/>
        </w:rPr>
        <w:t xml:space="preserve"> </w:t>
      </w:r>
      <w:r>
        <w:rPr>
          <w:bCs/>
          <w:shd w:fill="FFFFFF" w:val="clear"/>
        </w:rPr>
        <w:t>Договора</w:t>
      </w:r>
      <w:r>
        <w:rPr>
          <w:bCs/>
          <w:highlight w:val="lightGray"/>
        </w:rPr>
        <w:t>/Объекта</w:t>
      </w:r>
      <w:r>
        <w:rPr>
          <w:bCs/>
        </w:rPr>
        <w:t xml:space="preserve"> </w:t>
      </w:r>
      <w:r>
        <w:rPr>
          <w:bCs/>
          <w:shd w:fill="FFFFFF" w:val="clear"/>
        </w:rPr>
        <w:t xml:space="preserve">за каждый день просрочки - в случае несвоевременного устранения недостатков, влияющих на возможность эксплуатации (использования) Оборудования / Результатов Работ в целом </w:t>
      </w:r>
      <w:r>
        <w:rPr>
          <w:rFonts w:eastAsia="Calibri"/>
          <w:bCs/>
          <w:shd w:fill="FFFFFF" w:val="clear"/>
        </w:rPr>
        <w:t xml:space="preserve">по Договору </w:t>
      </w:r>
      <w:r>
        <w:rPr>
          <w:rFonts w:eastAsia="Calibri"/>
          <w:bCs/>
          <w:highlight w:val="lightGray"/>
        </w:rPr>
        <w:t>и / или соответствующего Объекта</w:t>
      </w:r>
      <w:r>
        <w:rPr>
          <w:bCs/>
        </w:rPr>
        <w:t xml:space="preserve">; </w:t>
      </w:r>
    </w:p>
    <w:p>
      <w:pPr>
        <w:pStyle w:val="ListParagraph"/>
        <w:widowControl w:val="false"/>
        <w:numPr>
          <w:ilvl w:val="2"/>
          <w:numId w:val="2"/>
        </w:numPr>
        <w:tabs>
          <w:tab w:val="clear" w:pos="708"/>
          <w:tab w:val="left" w:pos="1134" w:leader="none"/>
        </w:tabs>
        <w:spacing w:lineRule="auto" w:line="240"/>
        <w:ind w:firstLine="709" w:left="0"/>
        <w:jc w:val="both"/>
        <w:rPr>
          <w:bCs/>
        </w:rPr>
      </w:pPr>
      <w:r>
        <w:rPr>
          <w:bCs/>
          <w:sz w:val="24"/>
          <w:szCs w:val="24"/>
          <w:shd w:fill="FFFFFF" w:val="clear"/>
        </w:rPr>
        <w:t xml:space="preserve">Неустойки в размере 0,1 </w:t>
      </w:r>
      <w:r>
        <w:rPr>
          <w:sz w:val="24"/>
          <w:szCs w:val="24"/>
          <w:shd w:fill="FFFFFF" w:val="clear"/>
        </w:rPr>
        <w:t>(ноль целых и одна десятая) процента</w:t>
      </w:r>
      <w:r>
        <w:rPr>
          <w:bCs/>
          <w:sz w:val="24"/>
          <w:szCs w:val="24"/>
          <w:shd w:fill="FFFFFF" w:val="clear"/>
        </w:rPr>
        <w:t xml:space="preserve"> от стоимости Партии Оборудования/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Оборудования/Результата работ в целом </w:t>
      </w:r>
      <w:r>
        <w:rPr>
          <w:rFonts w:eastAsia="Calibri"/>
          <w:bCs/>
          <w:sz w:val="24"/>
          <w:szCs w:val="24"/>
          <w:shd w:fill="FFFFFF" w:val="clear"/>
        </w:rPr>
        <w:t xml:space="preserve">по Договору </w:t>
      </w:r>
      <w:r>
        <w:rPr>
          <w:rFonts w:eastAsia="Calibri"/>
          <w:bCs/>
          <w:sz w:val="24"/>
          <w:szCs w:val="24"/>
          <w:highlight w:val="lightGray"/>
        </w:rPr>
        <w:t>и / или соответствующего Объекта</w:t>
      </w:r>
      <w:r>
        <w:rPr>
          <w:bCs/>
          <w:sz w:val="24"/>
          <w:szCs w:val="24"/>
        </w:rPr>
        <w:t>.</w:t>
      </w:r>
    </w:p>
    <w:p>
      <w:pPr>
        <w:pStyle w:val="Normal"/>
        <w:widowControl w:val="false"/>
        <w:numPr>
          <w:ilvl w:val="1"/>
          <w:numId w:val="2"/>
        </w:numPr>
        <w:shd w:val="clear" w:color="auto" w:fill="FFFFFF"/>
        <w:tabs>
          <w:tab w:val="clear" w:pos="708"/>
          <w:tab w:val="left" w:pos="1134" w:leader="none"/>
        </w:tabs>
        <w:spacing w:lineRule="auto" w:line="240"/>
        <w:ind w:firstLine="709" w:left="0"/>
        <w:rPr>
          <w:sz w:val="24"/>
          <w:szCs w:val="24"/>
        </w:rPr>
      </w:pPr>
      <w:r>
        <w:rPr>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неустойки в размере </w:t>
      </w:r>
      <w:r>
        <w:rPr>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pPr>
        <w:pStyle w:val="ListParagraph"/>
        <w:numPr>
          <w:ilvl w:val="1"/>
          <w:numId w:val="2"/>
        </w:numPr>
        <w:shd w:val="clear" w:color="auto" w:fill="FFFFFF"/>
        <w:tabs>
          <w:tab w:val="clear" w:pos="708"/>
          <w:tab w:val="left" w:pos="1134" w:leader="none"/>
        </w:tabs>
        <w:ind w:firstLine="709" w:left="0"/>
        <w:jc w:val="both"/>
        <w:rPr>
          <w:bCs/>
        </w:rPr>
      </w:pPr>
      <w:r>
        <w:rPr>
          <w:bCs/>
        </w:rPr>
        <w:t>Если в результате составления и выставления Подрядчиком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(УПД), установленных пунктом 5.9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2"/>
        </w:numPr>
        <w:shd w:val="clear" w:color="auto" w:fill="FFFFFF"/>
        <w:tabs>
          <w:tab w:val="clear" w:pos="708"/>
          <w:tab w:val="left" w:pos="1134" w:leader="none"/>
        </w:tabs>
        <w:ind w:firstLine="709" w:left="0"/>
        <w:jc w:val="both"/>
        <w:rPr>
          <w:bCs/>
        </w:rPr>
      </w:pPr>
      <w:r>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три сотых) % от цены Договора за каждый день просрочки</w:t>
      </w:r>
      <w:r>
        <w:rPr>
          <w:rStyle w:val="FootnoteReference"/>
          <w:bCs/>
        </w:rPr>
        <w:footnoteReference w:id="25"/>
      </w:r>
      <w:r>
        <w:rPr>
          <w:bCs/>
        </w:rPr>
        <w:t>.</w:t>
      </w:r>
    </w:p>
    <w:p>
      <w:pPr>
        <w:pStyle w:val="Normal"/>
        <w:shd w:val="clear" w:color="auto" w:fill="FFFFFF"/>
        <w:tabs>
          <w:tab w:val="clear" w:pos="708"/>
          <w:tab w:val="left" w:pos="1134" w:leader="none"/>
        </w:tabs>
        <w:spacing w:lineRule="auto" w:line="240"/>
        <w:ind w:firstLine="709"/>
        <w:rPr>
          <w:bCs/>
          <w:sz w:val="24"/>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widowControl w:val="false"/>
        <w:numPr>
          <w:ilvl w:val="1"/>
          <w:numId w:val="2"/>
        </w:numPr>
        <w:shd w:val="clear" w:color="auto" w:fill="FFFFFF"/>
        <w:tabs>
          <w:tab w:val="clear" w:pos="708"/>
          <w:tab w:val="left" w:pos="1276" w:leader="none"/>
          <w:tab w:val="left" w:pos="6300" w:leader="none"/>
        </w:tabs>
        <w:ind w:firstLine="709" w:left="0"/>
        <w:jc w:val="both"/>
        <w:rPr/>
      </w:pPr>
      <w:r>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pPr>
        <w:pStyle w:val="Normal"/>
        <w:shd w:val="clear" w:color="auto" w:fill="FFFFFF"/>
        <w:tabs>
          <w:tab w:val="clear" w:pos="708"/>
          <w:tab w:val="left" w:pos="1134" w:leader="none"/>
        </w:tabs>
        <w:spacing w:lineRule="auto" w:line="240"/>
        <w:ind w:firstLine="709"/>
        <w:rPr>
          <w:bCs/>
          <w:sz w:val="24"/>
        </w:rPr>
      </w:pPr>
      <w:r>
        <w:rPr>
          <w:sz w:val="24"/>
        </w:rPr>
        <w:t>Предусмотренный настоящим пунктом ущерб Заказчика компенсируется Подрядчиком в полной сумме сверх неустойки</w:t>
      </w:r>
      <w:r>
        <w:rPr>
          <w:bCs/>
        </w:rPr>
        <w:t>.</w:t>
      </w:r>
      <w:r>
        <w:rPr>
          <w:rStyle w:val="FootnoteReference"/>
          <w:bCs/>
        </w:rPr>
        <w:footnoteReference w:id="26"/>
      </w:r>
    </w:p>
    <w:p>
      <w:pPr>
        <w:pStyle w:val="ListParagraph"/>
        <w:numPr>
          <w:ilvl w:val="1"/>
          <w:numId w:val="2"/>
        </w:numPr>
        <w:shd w:val="clear" w:color="auto" w:fill="FFFFFF"/>
        <w:tabs>
          <w:tab w:val="clear" w:pos="708"/>
          <w:tab w:val="left" w:pos="1134" w:leader="none"/>
        </w:tabs>
        <w:ind w:firstLine="709" w:left="0"/>
        <w:jc w:val="both"/>
        <w:rPr>
          <w:bCs/>
        </w:rPr>
      </w:pPr>
      <w:r>
        <w:rPr>
          <w:highlight w:val="lightGray"/>
        </w:rPr>
        <w:t xml:space="preserve">В случае нарушения Подрядчиком сроков исполнения обязательств, установленных пунктом 2.1.1 </w:t>
      </w:r>
      <w:r>
        <w:rPr>
          <w:bCs/>
          <w:highlight w:val="lightGray"/>
        </w:rPr>
        <w:t>Регламента взаимодействия в ходе исполнения процессов управления проектом (</w:t>
      </w:r>
      <w:r>
        <w:rPr>
          <w:highlight w:val="lightGray"/>
        </w:rPr>
        <w:t xml:space="preserve">Приложение №15 к Договору), Заказчик вправе потребовать уплаты Подрядчиком </w:t>
      </w:r>
      <w:r>
        <w:rPr>
          <w:b w:val="false"/>
          <w:bCs w:val="false"/>
          <w:shd w:fill="CCCCCC" w:val="clear"/>
        </w:rPr>
        <w:t>неустойки в размере 0,02 (ноль целых и две сотых) процента от стоимости Этапа Работ / Партии Оборудования, в отношении которого (-ой) Подрядчиком должен быть разработан детальный календарно-сетевой график, за каждый день просрочки, но не менее 50 000 (пятидесяти тысяч) рублей.</w:t>
      </w:r>
    </w:p>
    <w:p>
      <w:pPr>
        <w:pStyle w:val="ListParagraph"/>
        <w:shd w:val="clear" w:color="auto" w:fill="FFFFFF"/>
        <w:tabs>
          <w:tab w:val="clear" w:pos="708"/>
          <w:tab w:val="left" w:pos="1134" w:leader="none"/>
        </w:tabs>
        <w:ind w:firstLine="709" w:left="0"/>
        <w:jc w:val="both"/>
        <w:rPr>
          <w:bCs/>
        </w:rPr>
      </w:pPr>
      <w:r>
        <w:rPr>
          <w:highlight w:val="lightGray"/>
        </w:rPr>
        <w:t xml:space="preserve">В случае нарушения Подрядчиком сроков исполнения обязательств, установленных </w:t>
        <w:br/>
        <w:t xml:space="preserve">и пунктом </w:t>
      </w:r>
      <w:r>
        <w:rPr>
          <w:shd w:fill="CCCCCC" w:val="clear"/>
        </w:rPr>
        <w:t xml:space="preserve">3.2.4 </w:t>
      </w:r>
      <w:r>
        <w:rPr>
          <w:bCs/>
          <w:shd w:fill="CCCCCC" w:val="clear"/>
        </w:rPr>
        <w:t>Регл</w:t>
      </w:r>
      <w:r>
        <w:rPr>
          <w:bCs/>
          <w:highlight w:val="lightGray"/>
        </w:rPr>
        <w:t>амента взаимодействия в ходе исполнения процессов управления проектом (</w:t>
      </w:r>
      <w:r>
        <w:rPr>
          <w:highlight w:val="lightGray"/>
        </w:rPr>
        <w:t>Приложение № 15 к Договору), Заказчик вправе потребовать уплаты Подрядчиком штрафа в размере 15 000 (Пятнадцать тысяч) рублей за каждый случай нарушения.</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
        </w:numPr>
        <w:shd w:val="clear" w:color="auto" w:fill="FFFFFF"/>
        <w:tabs>
          <w:tab w:val="clear" w:pos="708"/>
          <w:tab w:val="left" w:pos="1134" w:leader="none"/>
        </w:tabs>
        <w:ind w:firstLine="709" w:left="0"/>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
        </w:numPr>
        <w:shd w:val="clear" w:color="auto" w:fill="FFFFFF"/>
        <w:tabs>
          <w:tab w:val="clear" w:pos="708"/>
          <w:tab w:val="left" w:pos="1134" w:leader="none"/>
        </w:tabs>
        <w:ind w:firstLine="709" w:left="0"/>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
        </w:numPr>
        <w:shd w:val="clear" w:color="auto" w:fill="FFFFFF"/>
        <w:tabs>
          <w:tab w:val="clear" w:pos="708"/>
          <w:tab w:val="left" w:pos="1134" w:leader="none"/>
        </w:tabs>
        <w:ind w:firstLine="709" w:left="0"/>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2"/>
        </w:numPr>
        <w:shd w:val="clear" w:color="auto" w:fill="FFFFFF"/>
        <w:tabs>
          <w:tab w:val="clear" w:pos="708"/>
          <w:tab w:val="left" w:pos="1134" w:leader="none"/>
        </w:tabs>
        <w:ind w:firstLine="709" w:left="0"/>
        <w:jc w:val="both"/>
        <w:rPr>
          <w:b/>
          <w:color w:val="000000"/>
        </w:rPr>
      </w:pPr>
      <w:r>
        <w:rPr/>
        <w:t xml:space="preserve">В случае нарушения Подрядчиком Порядка учета, хранения и передачи материалов, демонтированных при исполнении договора (Приложение №13 к Договору), </w:t>
      </w:r>
      <w:r>
        <w:rPr>
          <w:bCs/>
        </w:rPr>
        <w:t xml:space="preserve">Заказчик, помимо возмещения убытков, вправе требовать уплаты Подрядчиком штрафа в размере </w:t>
      </w:r>
      <w:r>
        <w:rPr>
          <w:bCs/>
          <w:highlight w:val="lightGray"/>
        </w:rPr>
        <w:t>50 000 (пятьдесят тысяч)</w:t>
      </w:r>
      <w:r>
        <w:rPr>
          <w:bCs/>
        </w:rPr>
        <w:t xml:space="preserve"> руб. за каждый случай нарушения.</w:t>
      </w:r>
    </w:p>
    <w:p>
      <w:pPr>
        <w:pStyle w:val="ListParagraph"/>
        <w:numPr>
          <w:ilvl w:val="1"/>
          <w:numId w:val="2"/>
        </w:numPr>
        <w:shd w:val="clear" w:color="auto" w:fill="FFFFFF"/>
        <w:tabs>
          <w:tab w:val="clear" w:pos="708"/>
          <w:tab w:val="left" w:pos="1134" w:leader="none"/>
        </w:tabs>
        <w:ind w:firstLine="709" w:left="0"/>
        <w:jc w:val="both"/>
        <w:rPr>
          <w:rFonts w:ascii="Times New Roman" w:hAnsi="Times New Roman"/>
          <w:highlight w:val="none"/>
          <w:shd w:fill="auto" w:val="clear"/>
        </w:rPr>
      </w:pPr>
      <w:r>
        <w:rPr>
          <w:b w:val="false"/>
          <w:bCs w:val="false"/>
          <w:i w:val="false"/>
          <w:iCs w:val="false"/>
          <w:caps w:val="false"/>
          <w:smallCaps w:val="false"/>
          <w:sz w:val="24"/>
          <w:szCs w:val="24"/>
          <w:shd w:fill="auto" w:val="clear"/>
        </w:rPr>
        <w:t>В случае нарушения Подрядчиком сроков составления и предоставления на согласование Заказчику ППР, включая детализированный календарный график работ,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ListParagraph"/>
        <w:numPr>
          <w:ilvl w:val="1"/>
          <w:numId w:val="2"/>
        </w:numPr>
        <w:shd w:val="clear" w:color="auto" w:fill="FFFFFF"/>
        <w:tabs>
          <w:tab w:val="clear" w:pos="708"/>
          <w:tab w:val="left" w:pos="1134" w:leader="none"/>
        </w:tabs>
        <w:ind w:firstLine="709" w:left="0"/>
        <w:jc w:val="both"/>
        <w:rPr>
          <w:rFonts w:ascii="Times New Roman" w:hAnsi="Times New Roman"/>
          <w:highlight w:val="none"/>
          <w:shd w:fill="auto" w:val="clear"/>
        </w:rPr>
      </w:pPr>
      <w:r>
        <w:rPr>
          <w:b w:val="false"/>
          <w:bCs w:val="false"/>
          <w:i w:val="false"/>
          <w:iCs w:val="false"/>
          <w:caps w:val="false"/>
          <w:smallCaps w:val="false"/>
          <w:color w:val="000000"/>
          <w:sz w:val="24"/>
          <w:szCs w:val="24"/>
          <w:shd w:fill="auto" w:val="clear"/>
        </w:rPr>
        <w:t>В случае нарушения Подрядчиком сроков направления оферты дополнительного соглашения о корректировке Календарного графика (Приложение №2 к Договору), предусмотренного п. 2.3.34 Договора,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Normal"/>
        <w:spacing w:lineRule="auto" w:line="240" w:before="0" w:after="0"/>
        <w:ind w:firstLine="510" w:left="113" w:right="113"/>
        <w:jc w:val="both"/>
        <w:rPr>
          <w:highlight w:val="none"/>
          <w:shd w:fill="auto" w:val="clear"/>
        </w:rPr>
      </w:pPr>
      <w:r>
        <w:rPr>
          <w:rFonts w:eastAsia="Times New Roman"/>
          <w:b/>
          <w:bCs/>
          <w:i w:val="false"/>
          <w:iCs w:val="false"/>
          <w:caps w:val="false"/>
          <w:smallCaps w:val="false"/>
          <w:sz w:val="24"/>
          <w:szCs w:val="24"/>
          <w:shd w:fill="auto" w:val="clear"/>
        </w:rPr>
        <w:t xml:space="preserve">7.18. </w:t>
      </w:r>
      <w:r>
        <w:rPr>
          <w:rFonts w:eastAsia="Times New Roman"/>
          <w:b w:val="false"/>
          <w:bCs w:val="false"/>
          <w:i w:val="false"/>
          <w:iCs w:val="false"/>
          <w:caps w:val="false"/>
          <w:smallCaps w:val="false"/>
          <w:color w:val="000000"/>
          <w:sz w:val="24"/>
          <w:szCs w:val="24"/>
          <w:shd w:fill="auto" w:val="clear"/>
        </w:rPr>
        <w:t>В случае нарушения Подрядчиком требований Технического задания (Приложение №1) о наличии у него необходимых для выполнения работ кадровых ресурсов (персонала), техники и материально-технических ресурсов, а также в случае предоставления Подрядчиком недостоверных сведений или неполной информации о наличии у него необходимых для выполнения работ персонала, техники и материально-технических ресурсов, либо отказа в предоставлении указанной информации полностью или частично, Заказчик вправе потребовать уплаты Подрядчиком штрафа в размере 5% (пяти процентов) от Цены Договора за каждый случай нарушения.</w:t>
      </w:r>
    </w:p>
    <w:p>
      <w:pPr>
        <w:pStyle w:val="BodyText"/>
        <w:widowControl/>
        <w:suppressAutoHyphens w:val="true"/>
        <w:bidi w:val="0"/>
        <w:spacing w:lineRule="auto" w:line="240" w:before="0" w:after="0"/>
        <w:ind w:firstLine="624" w:left="113" w:right="113"/>
        <w:jc w:val="both"/>
        <w:rPr>
          <w:highlight w:val="none"/>
          <w:shd w:fill="auto" w:val="clear"/>
        </w:rPr>
      </w:pPr>
      <w:r>
        <w:rPr>
          <w:rFonts w:eastAsia="Times New Roman"/>
          <w:b/>
          <w:bCs/>
          <w:sz w:val="24"/>
          <w:szCs w:val="24"/>
          <w:shd w:fill="auto" w:val="clear"/>
        </w:rPr>
        <w:t>7.19.</w:t>
      </w:r>
      <w:r>
        <w:rPr>
          <w:rFonts w:eastAsia="Times New Roman"/>
          <w:sz w:val="24"/>
          <w:szCs w:val="24"/>
          <w:shd w:fill="auto" w:val="clear"/>
        </w:rPr>
        <w:t xml:space="preserve"> 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pPr>
        <w:pStyle w:val="BodyText"/>
        <w:widowControl/>
        <w:suppressAutoHyphens w:val="true"/>
        <w:bidi w:val="0"/>
        <w:spacing w:lineRule="auto" w:line="240" w:before="0" w:after="0"/>
        <w:ind w:firstLine="624" w:left="113" w:right="113"/>
        <w:jc w:val="both"/>
        <w:rPr>
          <w:highlight w:val="none"/>
          <w:shd w:fill="auto" w:val="clear"/>
        </w:rPr>
      </w:pPr>
      <w:r>
        <w:rPr>
          <w:rFonts w:eastAsia="Times New Roman"/>
          <w:b/>
          <w:bCs/>
          <w:iCs w:val="false"/>
          <w:caps w:val="false"/>
          <w:smallCaps w:val="false"/>
          <w:sz w:val="24"/>
          <w:szCs w:val="24"/>
          <w:shd w:fill="auto" w:val="clear"/>
        </w:rPr>
        <w:t xml:space="preserve">7.20. </w:t>
      </w:r>
      <w:r>
        <w:rPr>
          <w:rFonts w:eastAsia="Times New Roman"/>
          <w:bCs/>
          <w:iCs w:val="false"/>
          <w:caps w:val="false"/>
          <w:smallCaps w:val="false"/>
          <w:sz w:val="24"/>
          <w:szCs w:val="24"/>
          <w:shd w:fill="auto" w:val="clear"/>
        </w:rPr>
        <w:t>Наряду с неустойкой за неисполнение или ненадлежащее исполнение обязательств Подрядчиком, предусмотренных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pPr>
        <w:pStyle w:val="BodyText"/>
        <w:widowControl/>
        <w:suppressAutoHyphens w:val="true"/>
        <w:bidi w:val="0"/>
        <w:spacing w:lineRule="auto" w:line="240" w:before="0" w:after="0"/>
        <w:ind w:firstLine="624" w:left="113" w:right="113"/>
        <w:jc w:val="both"/>
        <w:rPr>
          <w:rFonts w:eastAsia="Times New Roman"/>
          <w:b w:val="false"/>
          <w:bCs/>
          <w:i w:val="false"/>
          <w:i w:val="false"/>
          <w:iCs w:val="false"/>
          <w:caps w:val="false"/>
          <w:smallCaps w:val="false"/>
        </w:rPr>
      </w:pPr>
      <w:r>
        <w:rPr>
          <w:rFonts w:eastAsia="Times New Roman"/>
          <w:b w:val="false"/>
          <w:bCs/>
          <w:i w:val="false"/>
          <w:iCs w:val="false"/>
          <w:caps w:val="false"/>
          <w:smallCaps w:val="false"/>
        </w:rPr>
      </w:r>
    </w:p>
    <w:p>
      <w:pPr>
        <w:pStyle w:val="ListParagraph"/>
        <w:numPr>
          <w:ilvl w:val="0"/>
          <w:numId w:val="2"/>
        </w:numPr>
        <w:shd w:val="clear" w:color="auto" w:fill="FFFFFF"/>
        <w:tabs>
          <w:tab w:val="clear" w:pos="708"/>
          <w:tab w:val="left" w:pos="284" w:leader="none"/>
        </w:tabs>
        <w:ind w:hanging="0" w:left="0"/>
        <w:jc w:val="center"/>
        <w:rPr>
          <w:b/>
          <w:bCs/>
        </w:rPr>
      </w:pPr>
      <w:r>
        <w:rPr>
          <w:b/>
          <w:bCs/>
        </w:rPr>
        <w:t>Гарантии качества Результата Работ</w:t>
      </w:r>
    </w:p>
    <w:p>
      <w:pPr>
        <w:pStyle w:val="Normal"/>
        <w:numPr>
          <w:ilvl w:val="1"/>
          <w:numId w:val="2"/>
        </w:numPr>
        <w:tabs>
          <w:tab w:val="clear" w:pos="708"/>
          <w:tab w:val="left" w:pos="1134" w:leader="none"/>
        </w:tabs>
        <w:spacing w:lineRule="auto" w:line="240"/>
        <w:ind w:firstLine="709" w:left="0"/>
        <w:rPr>
          <w:bCs/>
          <w:sz w:val="24"/>
          <w:szCs w:val="24"/>
        </w:rPr>
      </w:pPr>
      <w:bookmarkStart w:id="27" w:name="_Ref361337777"/>
      <w:r>
        <w:rPr>
          <w:sz w:val="24"/>
          <w:szCs w:val="24"/>
        </w:rPr>
        <w:t>Гарантийный</w:t>
      </w:r>
      <w:r>
        <w:rPr>
          <w:bCs/>
          <w:sz w:val="24"/>
          <w:szCs w:val="24"/>
        </w:rPr>
        <w:t xml:space="preserve"> срок по Договору составляет 60</w:t>
      </w:r>
      <w:r>
        <w:rPr>
          <w:sz w:val="24"/>
          <w:szCs w:val="24"/>
          <w:highlight w:val="lightGray"/>
        </w:rPr>
        <w:t xml:space="preserve"> </w:t>
      </w:r>
      <w:r>
        <w:rPr>
          <w:bCs/>
          <w:sz w:val="24"/>
          <w:szCs w:val="24"/>
          <w:highlight w:val="lightGray"/>
        </w:rPr>
        <w:t>(шестьдесят)</w:t>
      </w:r>
      <w:r>
        <w:rPr>
          <w:sz w:val="24"/>
          <w:szCs w:val="24"/>
          <w:highlight w:val="lightGray"/>
        </w:rPr>
        <w:t xml:space="preserve"> месяцев</w:t>
      </w:r>
      <w:r>
        <w:rPr>
          <w:bCs/>
          <w:sz w:val="24"/>
          <w:szCs w:val="24"/>
          <w:highlight w:val="lightGray"/>
        </w:rPr>
        <w:t xml:space="preserve"> </w:t>
        <w:br/>
        <w:t>и начинает течь с даты подписания Сторонами А</w:t>
      </w:r>
      <w:r>
        <w:rPr>
          <w:sz w:val="24"/>
          <w:szCs w:val="24"/>
          <w:highlight w:val="lightGray"/>
        </w:rPr>
        <w:t>кта КС-11</w:t>
      </w:r>
      <w:r>
        <w:rPr>
          <w:bCs/>
          <w:sz w:val="24"/>
          <w:szCs w:val="24"/>
          <w:highlight w:val="lightGray"/>
        </w:rPr>
        <w:t xml:space="preserve"> </w:t>
      </w:r>
      <w:bookmarkEnd w:id="27"/>
      <w:r>
        <w:rPr>
          <w:bCs/>
          <w:sz w:val="24"/>
          <w:szCs w:val="24"/>
          <w:highlight w:val="lightGray"/>
        </w:rPr>
        <w:t>либо с даты прекращения (расторжения) Договора</w:t>
      </w:r>
      <w:r>
        <w:rPr>
          <w:bCs/>
          <w:sz w:val="24"/>
          <w:szCs w:val="24"/>
        </w:rPr>
        <w:t xml:space="preserve">. Гарантийный срок может быть продлен в соответствии с условиями Договора. </w:t>
      </w:r>
    </w:p>
    <w:p>
      <w:pPr>
        <w:pStyle w:val="ListParagraph"/>
        <w:numPr>
          <w:ilvl w:val="1"/>
          <w:numId w:val="2"/>
        </w:numPr>
        <w:shd w:val="clear" w:color="auto" w:fill="FFFFFF"/>
        <w:tabs>
          <w:tab w:val="clear" w:pos="708"/>
          <w:tab w:val="left" w:pos="568" w:leader="none"/>
          <w:tab w:val="left" w:pos="1134" w:leader="none"/>
        </w:tabs>
        <w:ind w:firstLine="709" w:left="0"/>
        <w:jc w:val="both"/>
        <w:rPr>
          <w:bCs/>
        </w:rPr>
      </w:pPr>
      <w:r>
        <w:rPr>
          <w:bCs/>
        </w:rPr>
        <w:t xml:space="preserve">Гарантийные обязательства Подрядчика наступают с даты подписания Акта </w:t>
        <w:br/>
        <w:t xml:space="preserve">КС-11 либо даты прекращения (расторжения) Договора (подписания Сторонами соглашения </w:t>
        <w:br/>
        <w:t xml:space="preserve">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w:t>
        <w:br/>
        <w:t>для прекращения гарантийных обязательств по выполненным Подрядчиком Работам.</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течение Гарантийного срока Подрядчик гарантирует </w:t>
      </w:r>
      <w:r>
        <w:rPr>
          <w:bCs/>
          <w:highlight w:val="lightGray"/>
        </w:rPr>
        <w:t>сохранение Гарантированных показателей,</w:t>
      </w:r>
      <w:r>
        <w:rPr>
          <w:bCs/>
        </w:rPr>
        <w:t xml:space="preserve"> возможность эксплуатации Результата Работ в соответствии </w:t>
        <w:br/>
        <w:t>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w:t>
      </w:r>
    </w:p>
    <w:p>
      <w:pPr>
        <w:pStyle w:val="ListParagraph"/>
        <w:numPr>
          <w:ilvl w:val="1"/>
          <w:numId w:val="2"/>
        </w:numPr>
        <w:shd w:val="clear" w:color="auto" w:fill="FFFFFF"/>
        <w:tabs>
          <w:tab w:val="clear" w:pos="708"/>
          <w:tab w:val="left" w:pos="1134" w:leader="none"/>
        </w:tabs>
        <w:ind w:firstLine="709" w:left="0"/>
        <w:jc w:val="both"/>
        <w:rPr>
          <w:bCs/>
        </w:rPr>
      </w:pPr>
      <w:bookmarkStart w:id="28"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8"/>
      <w:r>
        <w:rPr>
          <w:bCs/>
        </w:rPr>
        <w:t xml:space="preserve"> </w:t>
      </w:r>
    </w:p>
    <w:p>
      <w:pPr>
        <w:pStyle w:val="ListParagraph"/>
        <w:numPr>
          <w:ilvl w:val="1"/>
          <w:numId w:val="2"/>
        </w:numPr>
        <w:shd w:val="clear" w:color="auto" w:fill="FFFFFF"/>
        <w:tabs>
          <w:tab w:val="clear" w:pos="708"/>
          <w:tab w:val="left" w:pos="1134" w:leader="none"/>
        </w:tabs>
        <w:ind w:firstLine="709" w:left="0"/>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
        </w:numPr>
        <w:shd w:val="clear" w:color="auto" w:fill="FFFFFF"/>
        <w:tabs>
          <w:tab w:val="clear" w:pos="708"/>
          <w:tab w:val="left" w:pos="1134" w:leader="none"/>
        </w:tabs>
        <w:ind w:firstLine="709" w:left="0"/>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w:t>
        <w:br/>
        <w:t xml:space="preserve">в срок, указанный в </w:t>
      </w:r>
      <w:bookmarkStart w:id="29" w:name="OLE_LINK6"/>
      <w:bookmarkStart w:id="30" w:name="OLE_LINK5"/>
      <w:r>
        <w:rPr>
          <w:bCs/>
        </w:rPr>
        <w:t>Акте о недостатках, составленном в порядке, установленном пунктом 8.5 Договора</w:t>
      </w:r>
      <w:bookmarkEnd w:id="29"/>
      <w:bookmarkEnd w:id="30"/>
      <w:r>
        <w:rPr>
          <w:bCs/>
        </w:rPr>
        <w:t>.</w:t>
      </w:r>
      <w:r>
        <w:rPr/>
        <w:t xml:space="preserve">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Гарантийный срок на Результат Работ увеличивается на тот период времени, </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2"/>
        </w:numPr>
        <w:shd w:val="clear" w:color="auto" w:fill="FFFFFF"/>
        <w:tabs>
          <w:tab w:val="clear" w:pos="708"/>
          <w:tab w:val="left" w:pos="1134" w:leader="none"/>
        </w:tabs>
        <w:ind w:firstLine="709" w:left="0"/>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br/>
        <w:t xml:space="preserve">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2"/>
        </w:numPr>
        <w:shd w:val="clear" w:color="auto" w:fill="FFFFFF"/>
        <w:tabs>
          <w:tab w:val="clear" w:pos="708"/>
          <w:tab w:val="left" w:pos="426" w:leader="none"/>
        </w:tabs>
        <w:ind w:hanging="0" w:left="0"/>
        <w:jc w:val="center"/>
        <w:rPr>
          <w:b/>
          <w:bCs/>
        </w:rPr>
      </w:pPr>
      <w:r>
        <w:rPr>
          <w:b/>
          <w:bCs/>
        </w:rPr>
        <w:t>Исключительные права и патенты</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Подрядчик гарантирует, что выполнение Работ, предусмотренных Договором, </w:t>
        <w:br/>
        <w:t>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br/>
        <w:t xml:space="preserve">на это соответствующие разрешения (лицензии) этих лиц.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состав Результата Работ по Договору считаются включенными </w:t>
        <w:br/>
        <w:t xml:space="preserve">все разрешения (лицензии), необходимые для эксплуатации Заказчиком Результата Работ </w:t>
        <w:br/>
        <w:t xml:space="preserve">в течение всего установленного срока эксплуатации, его технического обслуживания </w:t>
        <w:br/>
        <w:t xml:space="preserve">и ремонта, а также реконструкции и / или модернизации.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случае если Заказчику будут предъявлены требования, связанные </w:t>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br/>
        <w:t>на юридических консультантов.</w:t>
      </w:r>
    </w:p>
    <w:p>
      <w:pPr>
        <w:pStyle w:val="ListParagraph"/>
        <w:numPr>
          <w:ilvl w:val="1"/>
          <w:numId w:val="2"/>
        </w:numPr>
        <w:shd w:val="clear" w:color="auto" w:fill="FFFFFF"/>
        <w:tabs>
          <w:tab w:val="clear" w:pos="708"/>
          <w:tab w:val="left" w:pos="1134" w:leader="none"/>
        </w:tabs>
        <w:ind w:firstLine="709" w:left="0"/>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firstLine="709" w:left="0"/>
        <w:jc w:val="both"/>
        <w:rPr>
          <w:bCs/>
        </w:rPr>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br/>
        <w:t xml:space="preserve">что Подрядчик передаст Заказчику неисключительные права (неисключительную лицензию) </w:t>
        <w:br/>
        <w:t>на право использования такого результата</w:t>
      </w:r>
      <w:r>
        <w:rPr/>
        <w:t xml:space="preserve"> </w:t>
      </w:r>
      <w:r>
        <w:rPr>
          <w:bCs/>
        </w:rPr>
        <w:t xml:space="preserve">интеллектуальной деятельности на срок, </w:t>
        <w:br/>
        <w:t>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br/>
        <w:t xml:space="preserve">за использование прав на результат интеллектуальной деятельности входит в Цену Договора.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
        </w:numPr>
        <w:shd w:val="clear" w:color="auto" w:fill="FFFFFF"/>
        <w:tabs>
          <w:tab w:val="clear" w:pos="708"/>
          <w:tab w:val="left" w:pos="1134" w:leader="none"/>
        </w:tabs>
        <w:ind w:firstLine="709" w:left="0"/>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8"/>
          <w:tab w:val="left" w:pos="1134" w:leader="none"/>
        </w:tabs>
        <w:ind w:hanging="0" w:left="709"/>
        <w:jc w:val="both"/>
        <w:rPr>
          <w:bCs/>
        </w:rPr>
      </w:pPr>
      <w:r>
        <w:rPr>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Конфиденциальность</w:t>
      </w:r>
    </w:p>
    <w:p>
      <w:pPr>
        <w:pStyle w:val="ListParagraph"/>
        <w:numPr>
          <w:ilvl w:val="1"/>
          <w:numId w:val="2"/>
        </w:numPr>
        <w:shd w:val="clear" w:color="auto" w:fill="FFFFFF"/>
        <w:tabs>
          <w:tab w:val="clear" w:pos="708"/>
          <w:tab w:val="left" w:pos="1134" w:leader="none"/>
        </w:tabs>
        <w:ind w:firstLine="709" w:left="0"/>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4"/>
        </w:numPr>
        <w:tabs>
          <w:tab w:val="clear" w:pos="708"/>
          <w:tab w:val="left" w:pos="709" w:leader="none"/>
          <w:tab w:val="left" w:pos="1418" w:leader="none"/>
        </w:tabs>
        <w:spacing w:lineRule="auto" w:line="240"/>
        <w:ind w:firstLine="709" w:left="0"/>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4"/>
        </w:numPr>
        <w:tabs>
          <w:tab w:val="clear" w:pos="708"/>
          <w:tab w:val="left" w:pos="709" w:leader="none"/>
          <w:tab w:val="left" w:pos="1418" w:leader="none"/>
        </w:tabs>
        <w:spacing w:lineRule="auto" w:line="240"/>
        <w:ind w:firstLine="709" w:left="0"/>
        <w:rPr>
          <w:bCs/>
          <w:sz w:val="24"/>
          <w:szCs w:val="24"/>
        </w:rPr>
      </w:pPr>
      <w:r>
        <w:rPr>
          <w:bCs/>
          <w:sz w:val="24"/>
          <w:szCs w:val="24"/>
        </w:rPr>
        <w:t xml:space="preserve">данная Информация не относится к категории общедоступной </w:t>
        <w:br/>
        <w:t>или обязательной к раскрытию Заказчиком в соответствии с законодательством Российской Федерации.</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
        </w:numPr>
        <w:shd w:val="clear" w:color="auto" w:fill="FFFFFF"/>
        <w:tabs>
          <w:tab w:val="clear" w:pos="708"/>
          <w:tab w:val="left" w:pos="1134" w:leader="none"/>
        </w:tabs>
        <w:ind w:firstLine="709" w:left="0"/>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
        </w:numPr>
        <w:shd w:val="clear" w:color="auto" w:fill="FFFFFF"/>
        <w:tabs>
          <w:tab w:val="clear" w:pos="708"/>
          <w:tab w:val="left" w:pos="1134" w:leader="none"/>
        </w:tabs>
        <w:ind w:firstLine="709" w:left="0"/>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
        </w:numPr>
        <w:shd w:val="clear" w:color="auto" w:fill="FFFFFF"/>
        <w:tabs>
          <w:tab w:val="clear" w:pos="708"/>
          <w:tab w:val="left" w:pos="1134" w:leader="none"/>
        </w:tabs>
        <w:ind w:firstLine="709" w:left="0"/>
        <w:jc w:val="both"/>
        <w:rPr>
          <w:bCs/>
        </w:rPr>
      </w:pPr>
      <w:r>
        <w:rPr>
          <w:bCs/>
        </w:rPr>
        <w:t>Информация может включать в себя, в том числе, но не ограничиваясь:</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учетные регистры бухгалтерского учета;</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бизнес-планы;</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 xml:space="preserve">сведения о находящихся на регистрации товарных знаках Заказчика, а также </w:t>
        <w:br/>
        <w:t>об объектах интеллектуальной собственности Заказчика, сведения о которых не являются опубликованными;</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 xml:space="preserve">сведения о подрядчиках, поставщиках оборудования и материалов, а также </w:t>
        <w:br/>
        <w:t>о покупателях продукции Заказчика и их аффилированных лицах;</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
        </w:numPr>
        <w:shd w:val="clear" w:color="auto" w:fill="FFFFFF"/>
        <w:tabs>
          <w:tab w:val="clear" w:pos="708"/>
          <w:tab w:val="left" w:pos="1134" w:leader="none"/>
        </w:tabs>
        <w:ind w:firstLine="709" w:left="0"/>
        <w:jc w:val="both"/>
        <w:rPr>
          <w:bCs/>
        </w:rPr>
      </w:pPr>
      <w:bookmarkStart w:id="31"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31"/>
      <w:r>
        <w:rPr>
          <w:bCs/>
        </w:rPr>
        <w:t xml:space="preserve"> </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Не разглашать, не обсуждать содержание, не предоставлять копий, </w:t>
        <w:br/>
        <w:t xml:space="preserve">не публиковать и не раскрывать в какой-либо иной форме третьим лицам Информацию </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br/>
        <w:t>в отношении защиты Информации обычно используемые им меры защиты.</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
        </w:numPr>
        <w:shd w:val="clear" w:color="auto" w:fill="FFFFFF"/>
        <w:tabs>
          <w:tab w:val="clear" w:pos="708"/>
          <w:tab w:val="left" w:pos="1701" w:leader="none"/>
        </w:tabs>
        <w:ind w:firstLine="709" w:left="0"/>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br/>
        <w:t xml:space="preserve">на технических средствах Подрядчика. При этом Заказчик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numPr>
          <w:ilvl w:val="2"/>
          <w:numId w:val="2"/>
        </w:numPr>
        <w:shd w:val="clear" w:color="auto" w:fill="FFFFFF"/>
        <w:tabs>
          <w:tab w:val="clear" w:pos="708"/>
          <w:tab w:val="left" w:pos="1701" w:leader="none"/>
        </w:tabs>
        <w:ind w:firstLine="709" w:left="0"/>
        <w:jc w:val="both"/>
        <w:rPr>
          <w:bCs/>
        </w:rPr>
      </w:pPr>
      <w:bookmarkStart w:id="32" w:name="_Ref361337832"/>
      <w:bookmarkEnd w:id="32"/>
      <w:r>
        <w:rPr>
          <w:bCs/>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p>
    <w:p>
      <w:pPr>
        <w:pStyle w:val="ListParagraph"/>
        <w:numPr>
          <w:ilvl w:val="2"/>
          <w:numId w:val="2"/>
        </w:numPr>
        <w:shd w:val="clear" w:color="auto" w:fill="FFFFFF"/>
        <w:tabs>
          <w:tab w:val="clear" w:pos="708"/>
          <w:tab w:val="left" w:pos="1701" w:leader="none"/>
        </w:tabs>
        <w:ind w:firstLine="709" w:left="0"/>
        <w:jc w:val="both"/>
        <w:rPr>
          <w:bCs/>
        </w:rPr>
      </w:pPr>
      <w:r>
        <w:rPr>
          <w:bCs/>
        </w:rPr>
        <w:t>Не разглашать третьим лицам факты передачи или получения Информации.</w:t>
      </w:r>
    </w:p>
    <w:p>
      <w:pPr>
        <w:pStyle w:val="ListParagraph"/>
        <w:numPr>
          <w:ilvl w:val="1"/>
          <w:numId w:val="2"/>
        </w:numPr>
        <w:shd w:val="clear" w:color="auto" w:fill="FFFFFF"/>
        <w:tabs>
          <w:tab w:val="clear" w:pos="708"/>
          <w:tab w:val="left" w:pos="1134" w:leader="none"/>
        </w:tabs>
        <w:ind w:firstLine="709" w:left="0"/>
        <w:jc w:val="both"/>
        <w:rPr>
          <w:bCs/>
        </w:rPr>
      </w:pPr>
      <w:bookmarkStart w:id="33" w:name="_Ref361337863"/>
      <w:bookmarkEnd w:id="33"/>
      <w:r>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br/>
        <w:t>с даты получения соответствующего письменного требования Заказчика.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br/>
        <w:t>с Субподрядчиками.</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hanging="0" w:left="0"/>
        <w:rPr>
          <w:b/>
          <w:bCs/>
        </w:rPr>
      </w:pPr>
      <w:r>
        <w:rPr>
          <w:b/>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Антикоррупционная оговорка</w:t>
      </w:r>
    </w:p>
    <w:p>
      <w:pPr>
        <w:pStyle w:val="ListParagraph"/>
        <w:numPr>
          <w:ilvl w:val="1"/>
          <w:numId w:val="2"/>
        </w:numPr>
        <w:shd w:val="clear" w:color="auto" w:fill="FFFFFF"/>
        <w:tabs>
          <w:tab w:val="clear" w:pos="708"/>
          <w:tab w:val="left" w:pos="1418" w:leader="none"/>
        </w:tabs>
        <w:ind w:firstLine="709" w:left="0"/>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w:t>
      </w:r>
      <w:r>
        <w:rPr>
          <w:bCs/>
          <w:color w:val="000000"/>
          <w:shd w:fill="FFFFFF" w:val="clear"/>
        </w:rPr>
        <w:t xml:space="preserve">Применимым правом </w:t>
      </w:r>
      <w:r>
        <w:rPr>
          <w:bCs/>
          <w:color w:val="000000"/>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2"/>
        </w:numPr>
        <w:shd w:val="clear" w:color="auto" w:fill="FFFFFF"/>
        <w:tabs>
          <w:tab w:val="clear" w:pos="708"/>
          <w:tab w:val="left" w:pos="567" w:leader="none"/>
          <w:tab w:val="left" w:pos="1418" w:leader="none"/>
        </w:tabs>
        <w:ind w:firstLine="709" w:left="0"/>
        <w:jc w:val="both"/>
        <w:rPr>
          <w:color w:val="000000"/>
        </w:rPr>
      </w:pPr>
      <w:r>
        <w:rPr>
          <w:color w:val="000000"/>
        </w:rPr>
        <w:t xml:space="preserve">Каналы связи Линия доверия Группы РусГидро: </w:t>
      </w:r>
    </w:p>
    <w:p>
      <w:pPr>
        <w:pStyle w:val="ListParagraph"/>
        <w:widowControl w:val="false"/>
        <w:numPr>
          <w:ilvl w:val="2"/>
          <w:numId w:val="2"/>
        </w:numPr>
        <w:shd w:val="clear" w:color="auto" w:fill="FFFFFF"/>
        <w:tabs>
          <w:tab w:val="clear" w:pos="708"/>
          <w:tab w:val="left" w:pos="567" w:leader="none"/>
          <w:tab w:val="left" w:pos="1418" w:leader="none"/>
        </w:tabs>
        <w:ind w:firstLine="709" w:left="0"/>
        <w:jc w:val="both"/>
        <w:rPr>
          <w:szCs w:val="28"/>
        </w:rPr>
      </w:pPr>
      <w:r>
        <w:rPr>
          <w:szCs w:val="28"/>
        </w:rPr>
        <w:t>Электронная почта: ld@rushydro.ru.</w:t>
      </w:r>
    </w:p>
    <w:p>
      <w:pPr>
        <w:pStyle w:val="ListParagraph"/>
        <w:widowControl w:val="false"/>
        <w:numPr>
          <w:ilvl w:val="2"/>
          <w:numId w:val="2"/>
        </w:numPr>
        <w:shd w:val="clear" w:color="auto" w:fill="FFFFFF"/>
        <w:tabs>
          <w:tab w:val="clear" w:pos="708"/>
          <w:tab w:val="left" w:pos="567" w:leader="none"/>
          <w:tab w:val="left" w:pos="1418" w:leader="none"/>
        </w:tabs>
        <w:ind w:firstLine="709" w:left="0"/>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2"/>
        </w:numPr>
        <w:tabs>
          <w:tab w:val="clear" w:pos="708"/>
          <w:tab w:val="left" w:pos="1418" w:leader="none"/>
        </w:tabs>
        <w:spacing w:lineRule="auto" w:line="259" w:before="0" w:after="160"/>
        <w:ind w:firstLine="709" w:left="0"/>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0"/>
          <w:numId w:val="2"/>
        </w:numPr>
        <w:shd w:val="clear" w:color="auto" w:fill="FFFFFF"/>
        <w:tabs>
          <w:tab w:val="clear" w:pos="708"/>
          <w:tab w:val="left" w:pos="426" w:leader="none"/>
        </w:tabs>
        <w:ind w:hanging="0" w:left="0"/>
        <w:jc w:val="center"/>
        <w:rPr>
          <w:b/>
          <w:bCs/>
        </w:rPr>
      </w:pPr>
      <w:r>
        <w:rPr>
          <w:b/>
          <w:bCs/>
        </w:rPr>
        <w:t>Обстоятельства непреодолимой силы (форс-мажор)</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Стороны освобождаются от ответственности за неисполнение </w:t>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
        </w:numPr>
        <w:shd w:val="clear" w:color="auto" w:fill="FFFFFF"/>
        <w:tabs>
          <w:tab w:val="clear" w:pos="708"/>
          <w:tab w:val="left" w:pos="1134" w:leader="none"/>
        </w:tabs>
        <w:ind w:firstLine="709" w:left="0"/>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
        </w:numPr>
        <w:shd w:val="clear" w:color="auto" w:fill="FFFFFF"/>
        <w:tabs>
          <w:tab w:val="clear" w:pos="708"/>
          <w:tab w:val="left" w:pos="568" w:leader="none"/>
        </w:tabs>
        <w:ind w:firstLine="709" w:left="0"/>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firstLine="709" w:left="0"/>
        <w:jc w:val="both"/>
        <w:rPr>
          <w:bCs/>
        </w:rPr>
      </w:pPr>
      <w:r>
        <w:rPr>
          <w:bCs/>
        </w:rPr>
        <w:t xml:space="preserve">При этом любая из Сторон вправе отказаться от исполнения Договора </w:t>
        <w:br/>
        <w:t>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2"/>
        </w:numPr>
        <w:shd w:val="clear" w:color="auto" w:fill="FFFFFF"/>
        <w:tabs>
          <w:tab w:val="clear" w:pos="708"/>
          <w:tab w:val="left" w:pos="426" w:leader="none"/>
        </w:tabs>
        <w:ind w:hanging="0" w:left="0"/>
        <w:jc w:val="center"/>
        <w:rPr>
          <w:b/>
          <w:bCs/>
        </w:rPr>
      </w:pPr>
      <w:r>
        <w:rPr>
          <w:b/>
          <w:bCs/>
        </w:rPr>
        <w:t>Особые положения</w:t>
      </w:r>
    </w:p>
    <w:p>
      <w:pPr>
        <w:pStyle w:val="ListParagraph"/>
        <w:numPr>
          <w:ilvl w:val="1"/>
          <w:numId w:val="2"/>
        </w:numPr>
        <w:shd w:val="clear" w:color="auto" w:fill="FFFFFF"/>
        <w:tabs>
          <w:tab w:val="clear" w:pos="708"/>
          <w:tab w:val="left" w:pos="1134" w:leader="none"/>
        </w:tabs>
        <w:ind w:firstLine="709" w:left="0"/>
        <w:jc w:val="both"/>
        <w:rPr>
          <w:bCs/>
        </w:rPr>
      </w:pPr>
      <w:bookmarkStart w:id="34"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1"/>
        </w:numPr>
        <w:shd w:val="clear" w:color="auto" w:fill="FFFFFF"/>
        <w:tabs>
          <w:tab w:val="clear" w:pos="708"/>
          <w:tab w:val="left" w:pos="1134" w:leader="none"/>
        </w:tabs>
        <w:ind w:firstLine="709" w:left="0"/>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rPr>
          <w:t>№ 18162/09</w:t>
        </w:r>
      </w:hyperlink>
      <w:r>
        <w:rPr>
          <w:bCs/>
        </w:rPr>
        <w:t xml:space="preserve"> </w:t>
        <w:br/>
        <w:t xml:space="preserve">и от 25.05.2010 </w:t>
      </w:r>
      <w:hyperlink r:id="rId3">
        <w:r>
          <w:rPr>
            <w:rStyle w:val="Hyperlink"/>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br/>
        <w:t xml:space="preserve">и / или </w:t>
      </w:r>
    </w:p>
    <w:p>
      <w:pPr>
        <w:pStyle w:val="ListParagraph"/>
        <w:numPr>
          <w:ilvl w:val="1"/>
          <w:numId w:val="11"/>
        </w:numPr>
        <w:shd w:val="clear" w:color="auto" w:fill="FFFFFF"/>
        <w:tabs>
          <w:tab w:val="clear" w:pos="708"/>
          <w:tab w:val="left" w:pos="1134" w:leader="none"/>
        </w:tabs>
        <w:ind w:firstLine="709" w:left="0"/>
        <w:jc w:val="both"/>
        <w:rPr/>
      </w:pPr>
      <w:r>
        <w:rPr>
          <w:bCs/>
        </w:rPr>
        <w:t xml:space="preserve">соответствующие </w:t>
      </w:r>
      <w:hyperlink r:id="rId4">
        <w:r>
          <w:rPr>
            <w:rStyle w:val="Hyperlink"/>
            <w:bCs/>
          </w:rPr>
          <w:t>Критери</w:t>
        </w:r>
      </w:hyperlink>
      <w:bookmarkEnd w:id="34"/>
      <w:r>
        <w:rPr>
          <w:bCs/>
        </w:rPr>
        <w:t xml:space="preserve">ям самостоятельной оценки рисков </w:t>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
        </w:numPr>
        <w:shd w:val="clear" w:color="auto" w:fill="FFFFFF"/>
        <w:tabs>
          <w:tab w:val="clear" w:pos="708"/>
          <w:tab w:val="left" w:pos="1134" w:leader="none"/>
        </w:tabs>
        <w:ind w:firstLine="709" w:left="0"/>
        <w:jc w:val="both"/>
        <w:rPr>
          <w:bCs/>
        </w:rPr>
      </w:pPr>
      <w:bookmarkStart w:id="35" w:name="_Ref361337921"/>
      <w:bookmarkEnd w:id="35"/>
      <w:r>
        <w:rPr>
          <w:bCs/>
        </w:rPr>
        <w:t xml:space="preserve">Подрядчик обязуется незамедлительно уведомить Заказчика о появлении </w:t>
        <w:br/>
        <w:t>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pPr>
        <w:pStyle w:val="ListParagraph"/>
        <w:numPr>
          <w:ilvl w:val="1"/>
          <w:numId w:val="2"/>
        </w:numPr>
        <w:shd w:val="clear" w:color="auto" w:fill="FFFFFF"/>
        <w:tabs>
          <w:tab w:val="clear" w:pos="708"/>
          <w:tab w:val="left" w:pos="1134" w:leader="none"/>
        </w:tabs>
        <w:ind w:firstLine="709" w:left="0"/>
        <w:jc w:val="both"/>
        <w:rPr>
          <w:bCs/>
        </w:rPr>
      </w:pPr>
      <w:bookmarkStart w:id="36" w:name="_Ref361337948"/>
      <w:bookmarkEnd w:id="36"/>
      <w:r>
        <w:rPr>
          <w:bCs/>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w:t>
        <w:br/>
        <w:t xml:space="preserve">от Договора путем направления уведомления об отказе от Договора (исполнения Договора) </w:t>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2"/>
        </w:numPr>
        <w:shd w:val="clear" w:color="auto" w:fill="FFFFFF"/>
        <w:tabs>
          <w:tab w:val="clear" w:pos="708"/>
          <w:tab w:val="left" w:pos="1134" w:leader="none"/>
        </w:tabs>
        <w:ind w:firstLine="709" w:left="0"/>
        <w:jc w:val="both"/>
        <w:rPr>
          <w:bCs/>
        </w:rPr>
      </w:pPr>
      <w:bookmarkStart w:id="37" w:name="_Ref361337980"/>
      <w:bookmarkEnd w:id="37"/>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pPr>
        <w:pStyle w:val="ListParagraph"/>
        <w:numPr>
          <w:ilvl w:val="1"/>
          <w:numId w:val="2"/>
        </w:numPr>
        <w:shd w:val="clear" w:color="auto" w:fill="FFFFFF"/>
        <w:tabs>
          <w:tab w:val="clear" w:pos="708"/>
          <w:tab w:val="left" w:pos="1134" w:leader="none"/>
        </w:tabs>
        <w:ind w:firstLine="709" w:left="0"/>
        <w:jc w:val="both"/>
        <w:rPr/>
      </w:pPr>
      <w:bookmarkStart w:id="38" w:name="_Ref373243071"/>
      <w:r>
        <w:rPr>
          <w:bCs/>
        </w:rPr>
        <w:t xml:space="preserve">Штраф, предусмотренный пунктом </w:t>
      </w:r>
      <w:r>
        <w:rPr/>
        <w:fldChar w:fldCharType="begin"/>
      </w:r>
      <w:r>
        <w:rPr/>
        <w:instrText xml:space="preserve"> REF _Ref361337980 \r \h </w:instrText>
      </w:r>
      <w:r>
        <w:rPr/>
        <w:fldChar w:fldCharType="separate"/>
      </w:r>
      <w:r>
        <w:rPr/>
        <w:t>13.4</w:t>
      </w:r>
      <w:r>
        <w:rPr/>
        <w:fldChar w:fldCharType="end"/>
      </w:r>
      <w:bookmarkEnd w:id="38"/>
      <w:r>
        <w:rPr>
          <w:bCs/>
        </w:rPr>
        <w:t xml:space="preserve">. Договора, оплачивается Подрядчиком </w:t>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br/>
        <w:t>вне независимости от направления уведомления об отказе от Договора (исполнения Договора), предусмотренного пунктом 14.3 Договора.</w:t>
      </w:r>
    </w:p>
    <w:p>
      <w:pPr>
        <w:pStyle w:val="ListParagraph"/>
        <w:numPr>
          <w:ilvl w:val="1"/>
          <w:numId w:val="2"/>
        </w:numPr>
        <w:shd w:val="clear" w:color="auto" w:fill="FFFFFF"/>
        <w:tabs>
          <w:tab w:val="clear" w:pos="708"/>
          <w:tab w:val="left" w:pos="1134" w:leader="none"/>
        </w:tabs>
        <w:ind w:firstLine="709" w:left="0"/>
        <w:jc w:val="both"/>
        <w:rPr>
          <w:bCs/>
        </w:rPr>
      </w:pPr>
      <w:bookmarkStart w:id="39" w:name="_Ref361337992"/>
      <w:bookmarkEnd w:id="39"/>
      <w:r>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w:t>
        <w:br/>
        <w:t>При этом Заказчик не будет считаться просрочившим и / или нарушившим свои обязательства по Договору.</w:t>
      </w:r>
    </w:p>
    <w:p>
      <w:pPr>
        <w:pStyle w:val="ListParagraph"/>
        <w:numPr>
          <w:ilvl w:val="1"/>
          <w:numId w:val="2"/>
        </w:numPr>
        <w:shd w:val="clear" w:color="auto" w:fill="FFFFFF"/>
        <w:tabs>
          <w:tab w:val="clear" w:pos="708"/>
          <w:tab w:val="left" w:pos="1134" w:leader="none"/>
        </w:tabs>
        <w:ind w:firstLine="709" w:left="0"/>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hanging="0" w:left="0"/>
        <w:jc w:val="both"/>
        <w:rPr>
          <w:bCs/>
        </w:rPr>
      </w:pPr>
      <w:r>
        <w:rPr>
          <w:bCs/>
        </w:rPr>
      </w:r>
    </w:p>
    <w:p>
      <w:pPr>
        <w:pStyle w:val="ListParagraph"/>
        <w:numPr>
          <w:ilvl w:val="0"/>
          <w:numId w:val="2"/>
        </w:numPr>
        <w:shd w:val="clear" w:color="auto" w:fill="FFFFFF"/>
        <w:tabs>
          <w:tab w:val="clear" w:pos="708"/>
          <w:tab w:val="left" w:pos="426" w:leader="none"/>
        </w:tabs>
        <w:ind w:hanging="0" w:left="0"/>
        <w:jc w:val="center"/>
        <w:rPr>
          <w:b/>
        </w:rPr>
      </w:pPr>
      <w:r>
        <w:rPr>
          <w:b/>
          <w:bCs/>
        </w:rPr>
        <w:t>Заверения</w:t>
      </w:r>
      <w:r>
        <w:rPr>
          <w:b/>
        </w:rPr>
        <w:t xml:space="preserve"> Сторон</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bCs/>
        </w:rPr>
        <w:t>Каждая</w:t>
      </w:r>
      <w:r>
        <w:rPr/>
        <w:t xml:space="preserve"> из Сторон заявляет и подтверждает другой Стороне, что: </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 xml:space="preserve">она располагает ресурсами, необходимыми и достаточными </w:t>
        <w:br/>
        <w:t xml:space="preserve">для своевременного и надлежащего исполнения обязательств, возникающих из Договора </w:t>
        <w:br/>
        <w:t xml:space="preserve">или в связи с ним. </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t>Подрядчик заявляет и заверяет Заказчика в том, что на момент заключения Договора:</w:t>
      </w:r>
    </w:p>
    <w:p>
      <w:pPr>
        <w:pStyle w:val="ListParagraph"/>
        <w:numPr>
          <w:ilvl w:val="0"/>
          <w:numId w:val="10"/>
        </w:numPr>
        <w:shd w:val="clear" w:color="auto" w:fill="FFFFFF"/>
        <w:tabs>
          <w:tab w:val="clear" w:pos="708"/>
          <w:tab w:val="left" w:pos="709" w:leader="none"/>
          <w:tab w:val="left" w:pos="1418" w:leader="none"/>
        </w:tabs>
        <w:ind w:firstLine="709" w:left="0"/>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0"/>
        </w:numPr>
        <w:shd w:val="clear" w:color="auto" w:fill="FFFFFF"/>
        <w:tabs>
          <w:tab w:val="clear" w:pos="708"/>
          <w:tab w:val="left" w:pos="709" w:leader="none"/>
          <w:tab w:val="left" w:pos="1418" w:leader="none"/>
        </w:tabs>
        <w:ind w:firstLine="709" w:left="0"/>
        <w:jc w:val="both"/>
        <w:rPr/>
      </w:pPr>
      <w:r>
        <w:rPr/>
        <w:t>руководителем Подрядчика является лицо, не являющееся массовым руководителем;</w:t>
      </w:r>
    </w:p>
    <w:p>
      <w:pPr>
        <w:pStyle w:val="ListParagraph"/>
        <w:numPr>
          <w:ilvl w:val="0"/>
          <w:numId w:val="10"/>
        </w:numPr>
        <w:shd w:val="clear" w:color="auto" w:fill="FFFFFF"/>
        <w:tabs>
          <w:tab w:val="clear" w:pos="708"/>
          <w:tab w:val="left" w:pos="709" w:leader="none"/>
          <w:tab w:val="left" w:pos="1418" w:leader="none"/>
        </w:tabs>
        <w:ind w:firstLine="709" w:left="0"/>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0"/>
        </w:numPr>
        <w:shd w:val="clear" w:color="auto" w:fill="FFFFFF"/>
        <w:tabs>
          <w:tab w:val="clear" w:pos="708"/>
          <w:tab w:val="left" w:pos="709" w:leader="none"/>
          <w:tab w:val="left" w:pos="1418" w:leader="none"/>
        </w:tabs>
        <w:ind w:firstLine="709" w:left="0"/>
        <w:jc w:val="both"/>
        <w:rPr/>
      </w:pPr>
      <w:r>
        <w:rPr/>
        <w:t xml:space="preserve">Подрядчик своевременно и в полном объеме уплачивает налоги и сборы </w:t>
        <w:br/>
        <w:t>в соответствии с законодательством Российской Федерации;</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 xml:space="preserve">Подрядчик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Подрядчик состоит в СРО, основанной на членстве лиц</w:t>
      </w:r>
      <w:r>
        <w:rPr>
          <w:highlight w:val="lightGray"/>
        </w:rPr>
        <w:t>, выполняющих инженерные изыскания / подготовку проектной документации или / осуществляющих строительство</w:t>
      </w:r>
      <w:r>
        <w:rPr>
          <w:rStyle w:val="FootnoteReference"/>
          <w:highlight w:val="lightGray"/>
        </w:rPr>
        <w:footnoteReference w:id="27"/>
      </w:r>
      <w:r>
        <w:rPr/>
        <w:t>;</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 xml:space="preserve">Подрядчик имеет в штате по основному месту работы не менее 2 (двух) специалистов </w:t>
      </w:r>
      <w:r>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Pr/>
        <w:t xml:space="preserve">, сведения о которых включены в национальный реестр специалистов в области инженерных изысканий </w:t>
        <w:br/>
        <w:t xml:space="preserve">и архитектурно-строительного проектирования / национальный реестр специалистов </w:t>
        <w:br/>
        <w:t>в области строительства</w:t>
      </w:r>
      <w:r>
        <w:rPr>
          <w:rStyle w:val="FootnoteReference"/>
        </w:rPr>
        <w:footnoteReference w:id="28"/>
      </w:r>
      <w:r>
        <w:rPr/>
        <w:t>;</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 xml:space="preserve">Подрядчик тщательно изучил всю информацию, связанную с Договором, </w:t>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br/>
        <w:t>и трудности исполнения обязательств, возникающих из Договора или в связи с ним;</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 xml:space="preserve">Подрядчик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 xml:space="preserve">вся информация, предоставленная Заказчику, является достоверной, полной </w:t>
        <w:br/>
        <w:t xml:space="preserve">и точной, и Подрядчик не скрыл никаких обстоятельств, которые при их обнаружении могли </w:t>
        <w:br/>
        <w:t>бы негативно повлиять на решение Заказчика заключить Договор на указанных в нем условиях.</w:t>
      </w:r>
    </w:p>
    <w:p>
      <w:pPr>
        <w:pStyle w:val="Normal"/>
        <w:numPr>
          <w:ilvl w:val="1"/>
          <w:numId w:val="2"/>
        </w:numPr>
        <w:spacing w:lineRule="auto" w:line="240"/>
        <w:ind w:firstLine="709" w:left="0"/>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 xml:space="preserve">обязан </w:t>
        <w:br/>
        <w:t>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Normal"/>
        <w:shd w:val="clear" w:color="auto" w:fill="FFFFFF"/>
        <w:tabs>
          <w:tab w:val="clear" w:pos="708"/>
          <w:tab w:val="left" w:pos="1134" w:leader="none"/>
          <w:tab w:val="left" w:pos="1418" w:leader="none"/>
        </w:tabs>
        <w:ind w:hanging="0" w:left="709"/>
        <w:rPr/>
      </w:pPr>
      <w:r>
        <w:rPr/>
      </w:r>
    </w:p>
    <w:p>
      <w:pPr>
        <w:pStyle w:val="ListParagraph"/>
        <w:numPr>
          <w:ilvl w:val="0"/>
          <w:numId w:val="2"/>
        </w:numPr>
        <w:shd w:val="clear" w:color="auto" w:fill="FFFFFF"/>
        <w:tabs>
          <w:tab w:val="clear" w:pos="708"/>
          <w:tab w:val="left" w:pos="426" w:leader="none"/>
        </w:tabs>
        <w:ind w:hanging="0" w:left="0"/>
        <w:jc w:val="center"/>
        <w:rPr>
          <w:b/>
        </w:rPr>
      </w:pPr>
      <w:r>
        <w:rPr>
          <w:b/>
          <w:bCs/>
        </w:rPr>
        <w:t>П</w:t>
      </w:r>
      <w:r>
        <w:rPr>
          <w:b/>
        </w:rPr>
        <w:t>рекращение (расторжение) Договора</w:t>
      </w:r>
    </w:p>
    <w:p>
      <w:pPr>
        <w:pStyle w:val="ListParagraph"/>
        <w:numPr>
          <w:ilvl w:val="1"/>
          <w:numId w:val="2"/>
        </w:numPr>
        <w:shd w:val="clear" w:color="auto" w:fill="FFFFFF"/>
        <w:tabs>
          <w:tab w:val="clear" w:pos="708"/>
          <w:tab w:val="left" w:pos="1134" w:leader="none"/>
        </w:tabs>
        <w:ind w:firstLine="709" w:left="0"/>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
        </w:numPr>
        <w:shd w:val="clear" w:color="auto" w:fill="FFFFFF"/>
        <w:tabs>
          <w:tab w:val="clear" w:pos="708"/>
          <w:tab w:val="left" w:pos="1134" w:leader="none"/>
        </w:tabs>
        <w:ind w:firstLine="709" w:left="0"/>
        <w:jc w:val="both"/>
        <w:rPr/>
      </w:pPr>
      <w:r>
        <w:rPr/>
        <w:t xml:space="preserve">Заказчик вправе в любое время до сдачи ему Результатов Работ </w:t>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firstLine="709" w:left="0"/>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
        </w:numPr>
        <w:shd w:val="clear" w:color="auto" w:fill="FFFFFF"/>
        <w:tabs>
          <w:tab w:val="clear" w:pos="708"/>
          <w:tab w:val="left" w:pos="1134" w:leader="none"/>
        </w:tabs>
        <w:ind w:firstLine="709" w:left="0"/>
        <w:jc w:val="both"/>
        <w:rPr/>
      </w:pPr>
      <w:r>
        <w:rPr/>
        <w:t xml:space="preserve">В случае существенного нарушения Договора Подрядчиком Заказчик вправе </w:t>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firstLine="709" w:left="0"/>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
        </w:numPr>
        <w:shd w:val="clear" w:color="auto" w:fill="FFFFFF"/>
        <w:tabs>
          <w:tab w:val="clear" w:pos="708"/>
          <w:tab w:val="left" w:pos="1134" w:leader="none"/>
        </w:tabs>
        <w:ind w:firstLine="709" w:left="0"/>
        <w:jc w:val="both"/>
        <w:rPr/>
      </w:pPr>
      <w:r>
        <w:rPr/>
        <w:t>Стороны установили, что существенным нарушением Договора Подрядчиком является:</w:t>
      </w:r>
    </w:p>
    <w:p>
      <w:pPr>
        <w:pStyle w:val="ListParagraph"/>
        <w:numPr>
          <w:ilvl w:val="0"/>
          <w:numId w:val="7"/>
        </w:numPr>
        <w:tabs>
          <w:tab w:val="clear" w:pos="708"/>
          <w:tab w:val="left" w:pos="1134" w:leader="none"/>
        </w:tabs>
        <w:ind w:firstLine="709" w:left="0" w:right="23"/>
        <w:jc w:val="both"/>
        <w:rPr/>
      </w:pPr>
      <w:r>
        <w:rPr/>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2 к Договору), более чем на </w:t>
      </w:r>
      <w:r>
        <w:rPr>
          <w:highlight w:val="lightGray"/>
        </w:rPr>
        <w:t>30 (тридцать) календарных дней</w:t>
      </w:r>
      <w:r>
        <w:rPr>
          <w:rStyle w:val="FootnoteReference"/>
          <w:highlight w:val="lightGray"/>
        </w:rPr>
        <w:footnoteReference w:id="29"/>
      </w:r>
      <w:r>
        <w:rPr>
          <w:highlight w:val="lightGray"/>
        </w:rPr>
        <w:t xml:space="preserve"> / 60 (шестьдесят) календарных дне</w:t>
      </w:r>
      <w:bookmarkStart w:id="40" w:name="_GoBack"/>
      <w:bookmarkEnd w:id="40"/>
      <w:r>
        <w:rPr>
          <w:highlight w:val="lightGray"/>
        </w:rPr>
        <w:t>й</w:t>
      </w:r>
      <w:r>
        <w:rPr>
          <w:rStyle w:val="FootnoteReference"/>
          <w:highlight w:val="lightGray"/>
        </w:rPr>
        <w:footnoteReference w:id="30"/>
      </w:r>
      <w:r>
        <w:rPr/>
        <w:t xml:space="preserve"> по причинам, не зависящим от Заказчика;</w:t>
      </w:r>
    </w:p>
    <w:p>
      <w:pPr>
        <w:pStyle w:val="ListParagraph"/>
        <w:numPr>
          <w:ilvl w:val="0"/>
          <w:numId w:val="7"/>
        </w:numPr>
        <w:tabs>
          <w:tab w:val="clear" w:pos="708"/>
          <w:tab w:val="left" w:pos="1134" w:leader="none"/>
        </w:tabs>
        <w:ind w:firstLine="709" w:left="0" w:right="23"/>
        <w:jc w:val="both"/>
        <w:rPr/>
      </w:pPr>
      <w:r>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7"/>
        </w:numPr>
        <w:tabs>
          <w:tab w:val="clear" w:pos="708"/>
          <w:tab w:val="left" w:pos="1134" w:leader="none"/>
        </w:tabs>
        <w:ind w:firstLine="709" w:left="0" w:right="23"/>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7"/>
        </w:numPr>
        <w:tabs>
          <w:tab w:val="clear" w:pos="708"/>
          <w:tab w:val="left" w:pos="1134" w:leader="none"/>
        </w:tabs>
        <w:ind w:firstLine="709" w:left="0" w:right="23"/>
        <w:jc w:val="both"/>
        <w:rPr/>
      </w:pPr>
      <w:r>
        <w:rPr>
          <w:highlight w:val="lightGray"/>
        </w:rPr>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Pr/>
        <w:t>;</w:t>
      </w:r>
    </w:p>
    <w:p>
      <w:pPr>
        <w:pStyle w:val="ListParagraph"/>
        <w:numPr>
          <w:ilvl w:val="0"/>
          <w:numId w:val="7"/>
        </w:numPr>
        <w:tabs>
          <w:tab w:val="clear" w:pos="708"/>
          <w:tab w:val="left" w:pos="1134" w:leader="none"/>
        </w:tabs>
        <w:ind w:firstLine="709" w:left="0" w:right="23"/>
        <w:jc w:val="both"/>
        <w:rPr/>
      </w:pPr>
      <w:r>
        <w:rPr>
          <w:highlight w:val="lightGray"/>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t>;</w:t>
      </w:r>
      <w:r>
        <w:rPr>
          <w:rStyle w:val="FootnoteReference"/>
        </w:rPr>
        <w:footnoteReference w:id="31"/>
      </w:r>
    </w:p>
    <w:p>
      <w:pPr>
        <w:pStyle w:val="ListParagraph"/>
        <w:numPr>
          <w:ilvl w:val="0"/>
          <w:numId w:val="7"/>
        </w:numPr>
        <w:tabs>
          <w:tab w:val="clear" w:pos="708"/>
          <w:tab w:val="left" w:pos="1134" w:leader="none"/>
        </w:tabs>
        <w:ind w:firstLine="709" w:left="0" w:right="23"/>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7"/>
        </w:numPr>
        <w:tabs>
          <w:tab w:val="clear" w:pos="708"/>
          <w:tab w:val="left" w:pos="1134" w:leader="none"/>
        </w:tabs>
        <w:ind w:firstLine="709" w:left="0" w:right="23"/>
        <w:jc w:val="both"/>
        <w:rPr/>
      </w:pPr>
      <w:r>
        <w:rPr/>
        <w:t xml:space="preserve">привлечение к выполнению Работ по Договору третьих лиц (Субподрядчиков) </w:t>
        <w:br/>
        <w:t>с нарушением требований, установленных пунктом 2.4.2 Договора;</w:t>
      </w:r>
    </w:p>
    <w:p>
      <w:pPr>
        <w:pStyle w:val="ListParagraph"/>
        <w:numPr>
          <w:ilvl w:val="0"/>
          <w:numId w:val="7"/>
        </w:numPr>
        <w:tabs>
          <w:tab w:val="clear" w:pos="708"/>
          <w:tab w:val="left" w:pos="1134" w:leader="none"/>
        </w:tabs>
        <w:ind w:firstLine="709" w:left="0" w:right="23"/>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7"/>
        </w:numPr>
        <w:tabs>
          <w:tab w:val="clear" w:pos="708"/>
          <w:tab w:val="left" w:pos="1134" w:leader="none"/>
        </w:tabs>
        <w:ind w:firstLine="709" w:left="0" w:right="23"/>
        <w:jc w:val="both"/>
        <w:rPr/>
      </w:pPr>
      <w:r>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 xml:space="preserve">об обстоятельствах, указанных в разделе 15 Договора, и имеющих существенное значение для </w:t>
      </w:r>
      <w:r>
        <w:rPr>
          <w:shd w:fill="auto" w:val="clear"/>
        </w:rPr>
        <w:t>его заключения и исполнения;</w:t>
      </w:r>
    </w:p>
    <w:p>
      <w:pPr>
        <w:pStyle w:val="BodyText"/>
        <w:widowControl/>
        <w:numPr>
          <w:ilvl w:val="0"/>
          <w:numId w:val="7"/>
        </w:numPr>
        <w:bidi w:val="0"/>
        <w:spacing w:lineRule="auto" w:line="240" w:before="0" w:after="0"/>
        <w:ind w:firstLine="510" w:left="113" w:right="113"/>
        <w:jc w:val="both"/>
        <w:rPr>
          <w:highlight w:val="none"/>
          <w:shd w:fill="auto" w:val="clear"/>
        </w:rPr>
      </w:pPr>
      <w:r>
        <w:rPr>
          <w:b w:val="false"/>
          <w:bCs w:val="false"/>
          <w:i w:val="false"/>
          <w:iCs w:val="false"/>
          <w:caps w:val="false"/>
          <w:smallCaps w:val="false"/>
          <w:color w:val="000000"/>
          <w:sz w:val="24"/>
          <w:szCs w:val="24"/>
          <w:shd w:fill="auto" w:val="clear"/>
        </w:rPr>
        <w:t xml:space="preserve"> </w:t>
      </w:r>
      <w:r>
        <w:rPr>
          <w:b w:val="false"/>
          <w:bCs w:val="false"/>
          <w:i w:val="false"/>
          <w:iCs w:val="false"/>
          <w:caps w:val="false"/>
          <w:smallCaps w:val="false"/>
          <w:color w:val="000000"/>
          <w:sz w:val="24"/>
          <w:szCs w:val="24"/>
          <w:shd w:fill="auto" w:val="clear"/>
        </w:rPr>
        <w:t xml:space="preserve">не предоставление Подрядчиком Заказчику информации о </w:t>
      </w:r>
      <w:r>
        <w:rPr>
          <w:b w:val="false"/>
          <w:bCs/>
          <w:i w:val="false"/>
          <w:iCs w:val="false"/>
          <w:caps w:val="false"/>
          <w:smallCaps w:val="false"/>
          <w:color w:val="000000"/>
          <w:sz w:val="24"/>
          <w:szCs w:val="24"/>
          <w:shd w:fill="auto" w:val="clear"/>
        </w:rPr>
        <w:t xml:space="preserve">наличии </w:t>
      </w:r>
      <w:r>
        <w:rPr>
          <w:b w:val="false"/>
          <w:bCs w:val="false"/>
          <w:i w:val="false"/>
          <w:iCs w:val="false"/>
          <w:caps w:val="false"/>
          <w:smallCaps w:val="false"/>
          <w:color w:val="000000"/>
          <w:sz w:val="24"/>
          <w:szCs w:val="24"/>
          <w:shd w:fill="auto" w:val="clear"/>
        </w:rPr>
        <w:t>необходимых для выполнения работ кадровых ресурсов (персонала), техники и материально-технических ресурсов и подтверждающих ее документов согласно п.2.3.37 Договора</w:t>
      </w:r>
      <w:r>
        <w:rPr>
          <w:bCs/>
          <w:iCs w:val="false"/>
          <w:sz w:val="24"/>
          <w:szCs w:val="24"/>
          <w:shd w:fill="auto" w:val="clear"/>
        </w:rPr>
        <w:t>.</w:t>
      </w:r>
    </w:p>
    <w:p>
      <w:pPr>
        <w:pStyle w:val="ListParagraph"/>
        <w:numPr>
          <w:ilvl w:val="1"/>
          <w:numId w:val="2"/>
        </w:numPr>
        <w:shd w:val="clear" w:color="auto" w:fill="FFFFFF"/>
        <w:tabs>
          <w:tab w:val="clear" w:pos="708"/>
          <w:tab w:val="left" w:pos="1134" w:leader="none"/>
        </w:tabs>
        <w:ind w:firstLine="709" w:left="0"/>
        <w:jc w:val="both"/>
        <w:rPr>
          <w:highlight w:val="none"/>
          <w:shd w:fill="auto" w:val="clear"/>
        </w:rPr>
      </w:pPr>
      <w:r>
        <w:rPr>
          <w:shd w:fill="auto" w:val="clea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
        </w:numPr>
        <w:shd w:val="clear" w:color="auto" w:fill="FFFFFF"/>
        <w:tabs>
          <w:tab w:val="clear" w:pos="708"/>
          <w:tab w:val="left" w:pos="1134" w:leader="none"/>
        </w:tabs>
        <w:ind w:firstLine="709" w:left="0"/>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9"/>
        </w:numPr>
        <w:shd w:val="clear" w:color="auto" w:fill="FFFFFF"/>
        <w:tabs>
          <w:tab w:val="clear" w:pos="708"/>
          <w:tab w:val="left" w:pos="1418" w:leader="none"/>
        </w:tabs>
        <w:ind w:firstLine="709" w:left="0"/>
        <w:jc w:val="both"/>
        <w:rPr/>
      </w:pPr>
      <w:r>
        <w:rPr/>
        <w:t>передать Заказчику Результат Работ, техническую и иную полученную документацию, закупленные Оборудование и Материально-технические ресурсы;</w:t>
      </w:r>
    </w:p>
    <w:p>
      <w:pPr>
        <w:pStyle w:val="ListParagraph"/>
        <w:numPr>
          <w:ilvl w:val="0"/>
          <w:numId w:val="19"/>
        </w:numPr>
        <w:shd w:val="clear" w:color="auto" w:fill="FFFFFF"/>
        <w:tabs>
          <w:tab w:val="clear" w:pos="708"/>
          <w:tab w:val="left" w:pos="1418" w:leader="none"/>
        </w:tabs>
        <w:ind w:firstLine="709" w:left="0"/>
        <w:jc w:val="both"/>
        <w:rPr>
          <w:rFonts w:cs="Verdana"/>
        </w:rPr>
      </w:pPr>
      <w:r>
        <w:rPr/>
        <w:t>вывезти с места производства Работ собственную строительную технику</w:t>
      </w:r>
      <w:r>
        <w:rPr>
          <w:rFonts w:cs="Verdana"/>
        </w:rPr>
        <w:t xml:space="preserve"> </w:t>
        <w:br/>
        <w:t xml:space="preserve">и персонал Подрядчика; </w:t>
      </w:r>
    </w:p>
    <w:p>
      <w:pPr>
        <w:pStyle w:val="ListParagraph"/>
        <w:numPr>
          <w:ilvl w:val="0"/>
          <w:numId w:val="19"/>
        </w:numPr>
        <w:shd w:val="clear" w:color="auto" w:fill="FFFFFF"/>
        <w:tabs>
          <w:tab w:val="clear" w:pos="708"/>
          <w:tab w:val="left" w:pos="1418" w:leader="none"/>
        </w:tabs>
        <w:ind w:firstLine="709" w:left="0"/>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2"/>
        </w:numPr>
        <w:shd w:val="clear" w:color="auto" w:fill="FFFFFF"/>
        <w:tabs>
          <w:tab w:val="clear" w:pos="708"/>
          <w:tab w:val="left" w:pos="1134" w:leader="none"/>
        </w:tabs>
        <w:ind w:firstLine="709" w:left="0"/>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4.5.9 Договора.</w:t>
      </w:r>
    </w:p>
    <w:p>
      <w:pPr>
        <w:pStyle w:val="ListParagraph"/>
        <w:numPr>
          <w:ilvl w:val="1"/>
          <w:numId w:val="2"/>
        </w:numPr>
        <w:shd w:val="clear" w:color="auto" w:fill="FFFFFF"/>
        <w:tabs>
          <w:tab w:val="clear" w:pos="708"/>
          <w:tab w:val="left" w:pos="1134" w:leader="none"/>
        </w:tabs>
        <w:ind w:firstLine="709" w:left="0"/>
        <w:jc w:val="both"/>
        <w:rPr/>
      </w:pPr>
      <w:r>
        <w:rPr/>
        <w:t xml:space="preserve">При прекращении (расторжении) Договора по основаниям, указанным </w:t>
        <w:br/>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w:t>
        <w:br/>
        <w:t>по возмещению неустойки (пени), штрафов и убытков в случаях и размерах, предусмотренных Договором.</w:t>
      </w:r>
    </w:p>
    <w:p>
      <w:pPr>
        <w:pStyle w:val="ListParagraph"/>
        <w:numPr>
          <w:ilvl w:val="0"/>
          <w:numId w:val="2"/>
        </w:numPr>
        <w:shd w:val="clear" w:color="auto" w:fill="FFFFFF"/>
        <w:tabs>
          <w:tab w:val="clear" w:pos="708"/>
          <w:tab w:val="left" w:pos="426" w:leader="none"/>
        </w:tabs>
        <w:ind w:hanging="0" w:left="0"/>
        <w:jc w:val="center"/>
        <w:rPr>
          <w:bCs/>
        </w:rPr>
      </w:pPr>
      <w:r>
        <w:rPr>
          <w:b/>
          <w:bCs/>
        </w:rPr>
        <w:t>Разрешение споров</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Pr>
          <w:bCs/>
          <w:highlight w:val="lightGray"/>
        </w:rPr>
        <w:t>____________________</w:t>
      </w:r>
      <w:r>
        <w:rPr>
          <w:bCs/>
        </w:rPr>
        <w:t xml:space="preserve"> в соответствии с законодательством Российской Федерации, </w:t>
        <w:br/>
        <w:t>за исключением споров из Банковской гарантии, подсудность которых предусмотрена пунктом 7.1.10 Договора.</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8"/>
          <w:tab w:val="left" w:pos="1134" w:leader="none"/>
          <w:tab w:val="left" w:pos="1418" w:leader="none"/>
        </w:tabs>
        <w:ind w:hanging="0" w:left="709"/>
        <w:rPr>
          <w:bCs/>
        </w:rPr>
      </w:pPr>
      <w:r>
        <w:rPr>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Заключительные положения</w:t>
      </w:r>
    </w:p>
    <w:p>
      <w:pPr>
        <w:pStyle w:val="ListParagraph"/>
        <w:numPr>
          <w:ilvl w:val="1"/>
          <w:numId w:val="2"/>
        </w:numPr>
        <w:shd w:val="clear" w:color="auto" w:fill="FFFFFF"/>
        <w:tabs>
          <w:tab w:val="clear" w:pos="708"/>
          <w:tab w:val="left" w:pos="1134" w:leader="none"/>
        </w:tabs>
        <w:ind w:firstLine="709" w:left="0"/>
        <w:jc w:val="both"/>
        <w:rPr/>
      </w:pPr>
      <w:r>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r>
        <w:rPr>
          <w:highlight w:val="lightGray"/>
        </w:rPr>
        <w:t xml:space="preserve">В соответствии с пунктом 2 статьи 425 ГК РФ, условия Договора применяются к отношениям Сторон, возникшим </w:t>
        <w:br/>
        <w:t>с __________</w:t>
      </w:r>
      <w:r>
        <w:rPr/>
        <w:t>.</w:t>
      </w:r>
    </w:p>
    <w:p>
      <w:pPr>
        <w:pStyle w:val="Normal"/>
        <w:shd w:val="clear" w:color="auto" w:fill="FFFFFF"/>
        <w:tabs>
          <w:tab w:val="clear" w:pos="708"/>
          <w:tab w:val="left" w:pos="1134" w:leader="none"/>
        </w:tabs>
        <w:spacing w:lineRule="auto" w:line="240"/>
        <w:ind w:firstLine="709"/>
        <w:rPr>
          <w:sz w:val="24"/>
          <w:szCs w:val="24"/>
          <w:highlight w:val="lightGray"/>
        </w:rPr>
      </w:pPr>
      <w:r>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spacing w:lineRule="auto" w:line="240"/>
        <w:ind w:firstLine="709"/>
        <w:rPr/>
      </w:pPr>
      <w:r>
        <w:rPr>
          <w:sz w:val="24"/>
          <w:szCs w:val="22"/>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sz w:val="24"/>
          <w:szCs w:val="22"/>
          <w:highlight w:val="lightGray"/>
        </w:rPr>
        <w:footnoteReference w:id="32"/>
      </w:r>
    </w:p>
    <w:p>
      <w:pPr>
        <w:pStyle w:val="ListParagraph"/>
        <w:numPr>
          <w:ilvl w:val="1"/>
          <w:numId w:val="2"/>
        </w:numPr>
        <w:shd w:val="clear" w:color="auto" w:fill="FFFFFF"/>
        <w:tabs>
          <w:tab w:val="clear" w:pos="708"/>
          <w:tab w:val="left" w:pos="1134" w:leader="none"/>
        </w:tabs>
        <w:ind w:firstLine="709" w:left="0"/>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pPr>
        <w:pStyle w:val="ListParagraph"/>
        <w:numPr>
          <w:ilvl w:val="1"/>
          <w:numId w:val="2"/>
        </w:numPr>
        <w:shd w:val="clear" w:color="auto" w:fill="FFFFFF"/>
        <w:tabs>
          <w:tab w:val="clear" w:pos="708"/>
          <w:tab w:val="left" w:pos="1134" w:leader="none"/>
        </w:tabs>
        <w:ind w:firstLine="709" w:left="0"/>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
        </w:numPr>
        <w:shd w:val="clear" w:color="auto" w:fill="FFFFFF"/>
        <w:tabs>
          <w:tab w:val="clear" w:pos="708"/>
          <w:tab w:val="left" w:pos="1134" w:leader="none"/>
        </w:tabs>
        <w:ind w:firstLine="709" w:left="0"/>
        <w:jc w:val="both"/>
        <w:rPr/>
      </w:pPr>
      <w:r>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numPr>
          <w:ilvl w:val="1"/>
          <w:numId w:val="2"/>
        </w:numPr>
        <w:shd w:val="clear" w:color="auto" w:fill="FFFFFF"/>
        <w:tabs>
          <w:tab w:val="clear" w:pos="708"/>
          <w:tab w:val="left" w:pos="1134" w:leader="none"/>
        </w:tabs>
        <w:ind w:firstLine="709" w:left="0"/>
        <w:jc w:val="both"/>
        <w:rPr/>
      </w:pPr>
      <w:r>
        <w:rPr>
          <w:shd w:fill="FFFFFF" w:val="clear"/>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17.7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w:t>
      </w:r>
      <w:r>
        <w:rPr/>
        <w:t>роны.</w:t>
      </w:r>
    </w:p>
    <w:p>
      <w:pPr>
        <w:pStyle w:val="ListParagraph"/>
        <w:numPr>
          <w:ilvl w:val="1"/>
          <w:numId w:val="2"/>
        </w:numPr>
        <w:shd w:val="clear" w:color="auto" w:fill="FFFFFF"/>
        <w:tabs>
          <w:tab w:val="clear" w:pos="708"/>
          <w:tab w:val="left" w:pos="1134" w:leader="none"/>
        </w:tabs>
        <w:ind w:firstLine="709" w:left="0"/>
        <w:jc w:val="both"/>
        <w:rPr/>
      </w:pPr>
      <w:bookmarkStart w:id="41" w:name="_Ref361338004"/>
      <w:r>
        <w:rPr/>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17.7 Договора.</w:t>
      </w:r>
      <w:bookmarkEnd w:id="41"/>
      <w:r>
        <w:rPr/>
        <w:t xml:space="preserve"> </w:t>
      </w:r>
    </w:p>
    <w:p>
      <w:pPr>
        <w:pStyle w:val="ListParagraph"/>
        <w:numPr>
          <w:ilvl w:val="1"/>
          <w:numId w:val="2"/>
        </w:numPr>
        <w:shd w:val="clear" w:color="auto" w:fill="FFFFFF"/>
        <w:tabs>
          <w:tab w:val="clear" w:pos="708"/>
          <w:tab w:val="left" w:pos="1134" w:leader="none"/>
        </w:tabs>
        <w:ind w:firstLine="709" w:left="0"/>
        <w:jc w:val="both"/>
        <w:rPr>
          <w:bCs/>
        </w:rPr>
      </w:pPr>
      <w:bookmarkStart w:id="42" w:name="_Ref361338019"/>
      <w:r>
        <w:rPr/>
        <w:t xml:space="preserve">Письма, уведомления и / или сообщения направляются Стороне-получателю </w:t>
        <w:br/>
        <w:t>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bookmarkEnd w:id="42"/>
      <w:r>
        <w:rPr>
          <w:bCs/>
        </w:rPr>
        <w:t xml:space="preserve"> будет считаться полученным:</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2"/>
        </w:numPr>
        <w:shd w:val="clear" w:color="auto" w:fill="FFFFFF"/>
        <w:tabs>
          <w:tab w:val="clear" w:pos="708"/>
          <w:tab w:val="left" w:pos="1701" w:leader="none"/>
        </w:tabs>
        <w:ind w:firstLine="709" w:left="0"/>
        <w:jc w:val="both"/>
        <w:rPr>
          <w:bCs/>
        </w:rPr>
      </w:pPr>
      <w:bookmarkStart w:id="43" w:name="_Ref361338032"/>
      <w:bookmarkEnd w:id="43"/>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2"/>
        </w:numPr>
        <w:shd w:val="clear" w:color="auto" w:fill="FFFFFF"/>
        <w:tabs>
          <w:tab w:val="clear" w:pos="708"/>
          <w:tab w:val="left" w:pos="1701" w:leader="none"/>
        </w:tabs>
        <w:ind w:firstLine="709" w:left="0"/>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firstLine="709" w:left="0"/>
        <w:jc w:val="both"/>
        <w:rPr>
          <w:bCs/>
        </w:rPr>
      </w:pPr>
      <w:r>
        <w:rPr>
          <w:bCs/>
        </w:rPr>
        <w:t>Оригиналы документ</w:t>
      </w:r>
      <w:r>
        <w:rPr>
          <w:bCs/>
          <w:shd w:fill="FFFFFF" w:val="clear"/>
        </w:rPr>
        <w:t>ов, направленные посредством электронной почты, должны не позднее следующего рабочего дня быть направлены Стороной-отправителем</w:t>
      </w:r>
      <w:r>
        <w:rPr>
          <w:bCs/>
        </w:rPr>
        <w:t xml:space="preserve"> способами, указанными в пунктах 17.7.1 – 17.7.2 Договора. </w:t>
      </w:r>
    </w:p>
    <w:p>
      <w:pPr>
        <w:pStyle w:val="ListParagraph"/>
        <w:shd w:val="clear" w:color="auto" w:fill="FFFFFF"/>
        <w:tabs>
          <w:tab w:val="clear" w:pos="708"/>
          <w:tab w:val="left" w:pos="0" w:leader="none"/>
          <w:tab w:val="left" w:pos="1134" w:leader="none"/>
          <w:tab w:val="left" w:pos="1418" w:leader="none"/>
          <w:tab w:val="left" w:pos="1701" w:leader="none"/>
        </w:tabs>
        <w:ind w:firstLine="709" w:left="0"/>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
        </w:numPr>
        <w:spacing w:lineRule="auto" w:line="240"/>
        <w:ind w:firstLine="709" w:left="0"/>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
        </w:numPr>
        <w:shd w:val="clear" w:color="auto" w:fill="FFFFFF"/>
        <w:tabs>
          <w:tab w:val="clear" w:pos="708"/>
          <w:tab w:val="left" w:pos="568" w:leader="none"/>
        </w:tabs>
        <w:ind w:firstLine="709" w:left="0"/>
        <w:jc w:val="both"/>
        <w:rPr>
          <w:bCs/>
        </w:rPr>
      </w:pPr>
      <w:r>
        <w:rPr/>
        <w:t xml:space="preserve">Уступка (передача), в том числе в залог, прав (требований) к Заказчику </w:t>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2"/>
        </w:numPr>
        <w:shd w:val="clear" w:color="auto" w:fill="FFFFFF"/>
        <w:tabs>
          <w:tab w:val="clear" w:pos="708"/>
          <w:tab w:val="left" w:pos="1134" w:leader="none"/>
        </w:tabs>
        <w:ind w:firstLine="709" w:left="0"/>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
        </w:numPr>
        <w:shd w:val="clear" w:color="auto" w:fill="FFFFFF"/>
        <w:tabs>
          <w:tab w:val="clear" w:pos="708"/>
          <w:tab w:val="left" w:pos="1134" w:leader="none"/>
        </w:tabs>
        <w:ind w:firstLine="709" w:left="0"/>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2"/>
        </w:numPr>
        <w:shd w:val="clear" w:color="auto" w:fill="FFFFFF"/>
        <w:tabs>
          <w:tab w:val="clear" w:pos="708"/>
          <w:tab w:val="left" w:pos="0" w:leader="none"/>
          <w:tab w:val="left" w:pos="709" w:leader="none"/>
          <w:tab w:val="left" w:pos="851" w:leader="none"/>
          <w:tab w:val="left" w:pos="993" w:leader="none"/>
          <w:tab w:val="left" w:pos="1134" w:leader="none"/>
          <w:tab w:val="left" w:pos="1440" w:leader="none"/>
          <w:tab w:val="left" w:pos="1701" w:leader="none"/>
          <w:tab w:val="left" w:pos="2130" w:leader="none"/>
        </w:tabs>
        <w:spacing w:before="0" w:after="0"/>
        <w:ind w:firstLine="709" w:left="0"/>
        <w:contextualSpacing/>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s>
        <w:spacing w:lineRule="auto" w:line="240"/>
        <w:ind w:firstLine="709" w:right="-2"/>
        <w:rPr>
          <w:bCs/>
          <w:iCs/>
          <w:sz w:val="24"/>
          <w:szCs w:val="24"/>
        </w:rPr>
      </w:pPr>
      <w:r>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bCs/>
          <w:iCs/>
          <w:sz w:val="24"/>
          <w:szCs w:val="24"/>
        </w:rPr>
      </w:pPr>
      <w:r>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Normal"/>
        <w:shd w:val="clear" w:color="auto" w:fill="FFFFFF"/>
        <w:tabs>
          <w:tab w:val="clear" w:pos="708"/>
          <w:tab w:val="left" w:pos="1134" w:leader="none"/>
        </w:tabs>
        <w:spacing w:lineRule="auto" w:line="240"/>
        <w:ind w:firstLine="709"/>
        <w:rPr>
          <w:sz w:val="24"/>
          <w:szCs w:val="24"/>
        </w:rPr>
      </w:pPr>
      <w:r>
        <w:rPr>
          <w:sz w:val="24"/>
          <w:szCs w:val="24"/>
        </w:rPr>
      </w:r>
    </w:p>
    <w:p>
      <w:pPr>
        <w:pStyle w:val="ListParagraph"/>
        <w:numPr>
          <w:ilvl w:val="0"/>
          <w:numId w:val="2"/>
        </w:numPr>
        <w:shd w:val="clear" w:color="auto" w:fill="FFFFFF"/>
        <w:tabs>
          <w:tab w:val="clear" w:pos="708"/>
          <w:tab w:val="left" w:pos="426" w:leader="none"/>
        </w:tabs>
        <w:ind w:hanging="0" w:left="0"/>
        <w:jc w:val="center"/>
        <w:rPr>
          <w:b/>
          <w:bCs/>
        </w:rPr>
      </w:pPr>
      <w:r>
        <w:rPr>
          <w:b/>
          <w:bCs/>
        </w:rPr>
        <w:t>Список приложений</w:t>
      </w:r>
    </w:p>
    <w:p>
      <w:pPr>
        <w:pStyle w:val="ListParagraph"/>
        <w:shd w:val="clear" w:color="auto" w:fill="FFFFFF"/>
        <w:ind w:hanging="0" w:left="0"/>
        <w:jc w:val="both"/>
        <w:rPr>
          <w:bCs/>
        </w:rPr>
      </w:pPr>
      <w:r>
        <w:rPr/>
        <w:t xml:space="preserve">Приложение № </w:t>
      </w:r>
      <w:r>
        <w:rPr>
          <w:bCs/>
        </w:rPr>
        <w:t>1 – Техническое задание.</w:t>
      </w:r>
    </w:p>
    <w:p>
      <w:pPr>
        <w:pStyle w:val="ListParagraph"/>
        <w:ind w:hanging="0" w:left="0"/>
        <w:jc w:val="both"/>
        <w:rPr/>
      </w:pPr>
      <w:r>
        <w:rPr>
          <w:bCs/>
        </w:rPr>
        <w:t>Приложение № 2 – Календарный график  выполнения Работ.</w:t>
      </w:r>
    </w:p>
    <w:p>
      <w:pPr>
        <w:pStyle w:val="ListParagraph"/>
        <w:shd w:val="clear" w:color="auto" w:fill="FFFFFF"/>
        <w:ind w:hanging="0" w:left="0"/>
        <w:jc w:val="both"/>
        <w:rPr>
          <w:bCs/>
        </w:rPr>
      </w:pPr>
      <w:r>
        <w:rPr>
          <w:bCs/>
        </w:rPr>
        <w:t>Приложение № 3 – Сводный сметный расчет/Объектный сметный расчет с приложениями.</w:t>
      </w:r>
    </w:p>
    <w:p>
      <w:pPr>
        <w:pStyle w:val="ListParagraph"/>
        <w:shd w:val="clear" w:color="auto" w:fill="FFFFFF"/>
        <w:ind w:hanging="0" w:left="0"/>
        <w:jc w:val="both"/>
        <w:rPr>
          <w:bCs/>
        </w:rPr>
      </w:pPr>
      <w:r>
        <w:rPr>
          <w:bCs/>
        </w:rPr>
        <w:t>Приложение № 4 – Форма справки</w:t>
      </w:r>
      <w:r>
        <w:rPr>
          <w:b/>
          <w:bCs/>
          <w:color w:val="000000"/>
        </w:rPr>
        <w:t xml:space="preserve"> </w:t>
      </w:r>
      <w:r>
        <w:rPr>
          <w:bCs/>
        </w:rPr>
        <w:t xml:space="preserve">о заключенных договорах Подрядчика по договору </w:t>
        <w:br/>
      </w:r>
      <w:r>
        <w:rPr>
          <w:bCs/>
          <w:shd w:fill="auto" w:val="clear"/>
        </w:rPr>
        <w:t>с Субподрядчиками.</w:t>
      </w:r>
    </w:p>
    <w:p>
      <w:pPr>
        <w:pStyle w:val="ListParagraph"/>
        <w:shd w:val="clear" w:color="auto" w:fill="FFFFFF"/>
        <w:ind w:hanging="0" w:left="0"/>
        <w:jc w:val="both"/>
        <w:rPr>
          <w:highlight w:val="none"/>
          <w:shd w:fill="auto" w:val="clear"/>
        </w:rPr>
      </w:pPr>
      <w:r>
        <w:rPr>
          <w:bCs/>
          <w:shd w:fill="auto" w:val="clear"/>
        </w:rPr>
        <w:t>Приложение № 5.1 – Форма Акта сдачи-приемки места производства работ, места (помещения) для складирования оборудования и материалов.</w:t>
      </w:r>
    </w:p>
    <w:p>
      <w:pPr>
        <w:pStyle w:val="ListParagraph"/>
        <w:shd w:val="clear" w:color="auto" w:fill="FFFFFF"/>
        <w:ind w:hanging="0" w:left="0"/>
        <w:jc w:val="both"/>
        <w:rPr>
          <w:highlight w:val="none"/>
          <w:shd w:fill="auto" w:val="clear"/>
        </w:rPr>
      </w:pPr>
      <w:r>
        <w:rPr>
          <w:bCs/>
          <w:shd w:fill="auto" w:val="clear"/>
        </w:rPr>
        <w:t>Приложение № 5.2 – Форма Акта сдачи-приемки технической и иной документации.</w:t>
      </w:r>
    </w:p>
    <w:p>
      <w:pPr>
        <w:pStyle w:val="ListParagraph"/>
        <w:shd w:val="clear" w:color="auto" w:fill="FFFFFF"/>
        <w:ind w:hanging="0" w:left="0"/>
        <w:jc w:val="both"/>
        <w:rPr>
          <w:highlight w:val="none"/>
          <w:shd w:fill="auto" w:val="clear"/>
        </w:rPr>
      </w:pPr>
      <w:r>
        <w:rPr>
          <w:bCs/>
          <w:shd w:fill="auto" w:val="clear"/>
        </w:rPr>
        <w:t xml:space="preserve">Приложение № 6 – Перечень допусков, разрешений и лицензий Подрядчика. </w:t>
      </w:r>
    </w:p>
    <w:p>
      <w:pPr>
        <w:pStyle w:val="ListParagraph"/>
        <w:shd w:val="clear" w:color="auto" w:fill="FFFFFF"/>
        <w:ind w:hanging="0" w:left="0"/>
        <w:jc w:val="both"/>
        <w:rPr>
          <w:highlight w:val="none"/>
          <w:shd w:fill="auto" w:val="clear"/>
        </w:rPr>
      </w:pPr>
      <w:r>
        <w:rPr>
          <w:bCs/>
          <w:shd w:fill="auto" w:val="clear"/>
        </w:rPr>
        <w:t xml:space="preserve">Приложение № 7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shd w:val="clear" w:color="auto" w:fill="FFFFFF"/>
        <w:ind w:hanging="0" w:left="0"/>
        <w:jc w:val="both"/>
        <w:rPr>
          <w:highlight w:val="none"/>
          <w:shd w:fill="auto" w:val="clear"/>
        </w:rPr>
      </w:pPr>
      <w:r>
        <w:rPr>
          <w:bCs/>
          <w:shd w:fill="auto" w:val="clear"/>
        </w:rPr>
        <w:t>Приложение № 8 – Форма Акта сдачи-приемки Проектных работ.</w:t>
      </w:r>
    </w:p>
    <w:p>
      <w:pPr>
        <w:pStyle w:val="ListParagraph"/>
        <w:shd w:val="clear" w:color="auto" w:fill="FFFFFF"/>
        <w:ind w:hanging="0" w:left="0"/>
        <w:jc w:val="both"/>
        <w:rPr>
          <w:highlight w:val="none"/>
          <w:shd w:fill="auto" w:val="clear"/>
        </w:rPr>
      </w:pPr>
      <w:r>
        <w:rPr>
          <w:bCs/>
          <w:shd w:fill="auto" w:val="clear"/>
        </w:rPr>
        <w:t>Приложение № 9 – Форма Акта освидетельствования выполненных работ.</w:t>
      </w:r>
    </w:p>
    <w:p>
      <w:pPr>
        <w:pStyle w:val="ListParagraph"/>
        <w:shd w:val="clear" w:color="auto" w:fill="FFFFFF"/>
        <w:ind w:hanging="0" w:left="0"/>
        <w:jc w:val="both"/>
        <w:rPr>
          <w:highlight w:val="none"/>
          <w:shd w:fill="auto" w:val="clear"/>
        </w:rPr>
      </w:pPr>
      <w:r>
        <w:rPr>
          <w:bCs/>
          <w:shd w:fill="auto" w:val="clear"/>
        </w:rPr>
        <w:t>Приложение № 10 – Перечень объектов учета капитальных вложений.</w:t>
      </w:r>
    </w:p>
    <w:p>
      <w:pPr>
        <w:pStyle w:val="ListParagraph"/>
        <w:shd w:val="clear" w:color="auto" w:fill="FFFFFF"/>
        <w:ind w:hanging="0" w:left="0"/>
        <w:jc w:val="both"/>
        <w:rPr>
          <w:highlight w:val="none"/>
          <w:shd w:fill="auto" w:val="clear"/>
        </w:rPr>
      </w:pPr>
      <w:r>
        <w:rPr>
          <w:bCs/>
          <w:shd w:fill="auto" w:val="clear"/>
        </w:rPr>
        <w:t>Приложение № 11 – Критерии отбора Банков-гарантов.</w:t>
      </w:r>
    </w:p>
    <w:p>
      <w:pPr>
        <w:pStyle w:val="ListParagraph"/>
        <w:shd w:val="clear" w:color="auto" w:fill="FFFFFF"/>
        <w:ind w:hanging="0" w:left="0"/>
        <w:jc w:val="both"/>
        <w:rPr>
          <w:highlight w:val="none"/>
          <w:shd w:fill="auto" w:val="clear"/>
        </w:rPr>
      </w:pPr>
      <w:r>
        <w:rPr>
          <w:bCs/>
          <w:shd w:fill="auto" w:val="clear"/>
        </w:rPr>
        <w:t>Приложение № 12 – «Порядок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hanging="0" w:left="0"/>
        <w:jc w:val="both"/>
        <w:rPr>
          <w:highlight w:val="none"/>
          <w:shd w:fill="auto" w:val="clear"/>
        </w:rPr>
      </w:pPr>
      <w:r>
        <w:rPr>
          <w:bCs/>
          <w:shd w:fill="auto" w:val="clear"/>
        </w:rPr>
        <w:t>Приложение № 13 – «Порядок учета и хранения материалов, демонтированных при исполнении подрядчиком работ по договору»</w:t>
      </w:r>
    </w:p>
    <w:p>
      <w:pPr>
        <w:pStyle w:val="ListParagraph"/>
        <w:shd w:val="clear" w:color="auto" w:fill="FFFFFF"/>
        <w:ind w:hanging="0" w:left="0"/>
        <w:jc w:val="both"/>
        <w:rPr>
          <w:highlight w:val="none"/>
          <w:shd w:fill="auto" w:val="clear"/>
        </w:rPr>
      </w:pPr>
      <w:r>
        <w:rPr>
          <w:bCs/>
          <w:shd w:fill="auto" w:val="clear"/>
        </w:rPr>
        <w:t xml:space="preserve">Приложение № 14 – </w:t>
      </w:r>
      <w:r>
        <w:rPr>
          <w:b w:val="false"/>
          <w:bCs w:val="false"/>
          <w:sz w:val="24"/>
          <w:szCs w:val="24"/>
          <w:shd w:fill="auto" w:val="clear"/>
          <w:lang w:val="ru-RU" w:bidi="ar-SA"/>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ListParagraph"/>
        <w:shd w:val="clear" w:color="auto" w:fill="FFFFFF"/>
        <w:ind w:hanging="0" w:left="0"/>
        <w:jc w:val="both"/>
        <w:rPr>
          <w:highlight w:val="none"/>
          <w:shd w:fill="auto" w:val="clear"/>
        </w:rPr>
      </w:pPr>
      <w:r>
        <w:rPr>
          <w:b w:val="false"/>
          <w:bCs/>
          <w:sz w:val="24"/>
          <w:szCs w:val="24"/>
          <w:shd w:fill="auto" w:val="clear"/>
          <w:lang w:val="ru-RU" w:bidi="ar-SA"/>
        </w:rPr>
        <w:t xml:space="preserve">Приложение № 15 – </w:t>
      </w:r>
      <w:r>
        <w:rPr>
          <w:b w:val="false"/>
          <w:bCs w:val="false"/>
          <w:sz w:val="24"/>
          <w:szCs w:val="24"/>
          <w:shd w:fill="auto" w:val="clear"/>
          <w:lang w:val="ru-RU" w:bidi="ar-SA"/>
        </w:rPr>
        <w:t>Регламент взаимодействия в ходе исполнения процессов управления проектом.</w:t>
      </w:r>
    </w:p>
    <w:p>
      <w:pPr>
        <w:pStyle w:val="ListParagraph"/>
        <w:shd w:val="clear" w:color="auto" w:fill="FFFFFF"/>
        <w:ind w:hanging="0" w:left="0"/>
        <w:jc w:val="both"/>
        <w:rPr>
          <w:bCs/>
        </w:rPr>
      </w:pPr>
      <w:r>
        <w:rPr>
          <w:bCs/>
        </w:rPr>
      </w:r>
    </w:p>
    <w:p>
      <w:pPr>
        <w:pStyle w:val="ListParagraph"/>
        <w:shd w:val="clear" w:color="auto" w:fill="FFFFFF"/>
        <w:ind w:hanging="0" w:left="0"/>
        <w:jc w:val="both"/>
        <w:rPr>
          <w:bCs/>
        </w:rPr>
      </w:pPr>
      <w:r>
        <w:rPr>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Адреса и платежные реквизиты Сторон</w:t>
      </w:r>
    </w:p>
    <w:tbl>
      <w:tblPr>
        <w:tblW w:w="9890"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65"/>
        <w:gridCol w:w="163"/>
        <w:gridCol w:w="4614"/>
        <w:gridCol w:w="348"/>
      </w:tblGrid>
      <w:tr>
        <w:trPr/>
        <w:tc>
          <w:tcPr>
            <w:tcW w:w="4928" w:type="dxa"/>
            <w:gridSpan w:val="2"/>
            <w:tcBorders/>
            <w:shd w:fill="auto" w:val="clear"/>
          </w:tcPr>
          <w:p>
            <w:pPr>
              <w:pStyle w:val="Normal"/>
              <w:widowControl w:val="false"/>
              <w:spacing w:lineRule="auto" w:line="240"/>
              <w:ind w:hanging="0"/>
              <w:rPr>
                <w:sz w:val="24"/>
                <w:szCs w:val="24"/>
              </w:rPr>
            </w:pPr>
            <w:r>
              <w:rPr>
                <w:sz w:val="24"/>
                <w:szCs w:val="24"/>
              </w:rPr>
              <w:t>ЗАКАЗЧИК:</w:t>
            </w:r>
          </w:p>
        </w:tc>
        <w:tc>
          <w:tcPr>
            <w:tcW w:w="4962" w:type="dxa"/>
            <w:gridSpan w:val="2"/>
            <w:tcBorders/>
            <w:shd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BFBFBF" w:themeFill="background1" w:themeFillShade="bf"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rPr>
            </w:pPr>
            <w:r>
              <w:rPr>
                <w:b/>
                <w:sz w:val="24"/>
                <w:szCs w:val="24"/>
              </w:rPr>
              <w:t>Акционерное общество</w:t>
            </w:r>
          </w:p>
          <w:p>
            <w:pPr>
              <w:pStyle w:val="Normal"/>
              <w:widowControl w:val="false"/>
              <w:spacing w:lineRule="auto" w:line="240"/>
              <w:ind w:hanging="0"/>
              <w:jc w:val="left"/>
              <w:rPr>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Место нахождения:</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Почтовый адрес:</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ОГРН ___________________________</w:t>
            </w:r>
          </w:p>
          <w:p>
            <w:pPr>
              <w:pStyle w:val="Normal"/>
              <w:widowControl w:val="false"/>
              <w:spacing w:lineRule="auto" w:line="240"/>
              <w:ind w:hanging="0"/>
              <w:jc w:val="left"/>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hd w:val="clear" w:color="auto" w:fill="BFBFBF" w:themeFill="background1" w:themeFillShade="bf"/>
              <w:spacing w:lineRule="auto" w:line="240"/>
              <w:ind w:hanging="0"/>
              <w:jc w:val="left"/>
              <w:rPr>
                <w:sz w:val="24"/>
                <w:szCs w:val="24"/>
              </w:rPr>
            </w:pPr>
            <w:r>
              <w:rPr>
                <w:color w:val="0000FF"/>
                <w:sz w:val="24"/>
                <w:szCs w:val="24"/>
              </w:rPr>
              <w:t>Почтовый адрес: АДРЕС ФАО</w:t>
            </w:r>
          </w:p>
          <w:p>
            <w:pPr>
              <w:pStyle w:val="Normal"/>
              <w:widowControl w:val="false"/>
              <w:spacing w:lineRule="auto" w:line="240"/>
              <w:ind w:hanging="0"/>
              <w:jc w:val="left"/>
              <w:rPr>
                <w:sz w:val="24"/>
                <w:szCs w:val="24"/>
              </w:rPr>
            </w:pPr>
            <w:r>
              <w:rPr>
                <w:sz w:val="24"/>
                <w:szCs w:val="24"/>
              </w:rPr>
            </w:r>
          </w:p>
        </w:tc>
        <w:tc>
          <w:tcPr>
            <w:tcW w:w="4962" w:type="dxa"/>
            <w:gridSpan w:val="2"/>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65" w:type="dxa"/>
            <w:tcBorders/>
            <w:shd w:fill="auto" w:val="clear"/>
          </w:tcPr>
          <w:p>
            <w:pPr>
              <w:pStyle w:val="Normal"/>
              <w:widowControl w:val="false"/>
              <w:spacing w:lineRule="auto" w:line="240"/>
              <w:ind w:hanging="0"/>
              <w:jc w:val="left"/>
              <w:rPr>
                <w:sz w:val="24"/>
                <w:szCs w:val="24"/>
                <w:highlight w:val="lightGray"/>
              </w:rPr>
            </w:pPr>
            <w:r>
              <w:rPr>
                <w:sz w:val="24"/>
                <w:szCs w:val="24"/>
                <w:highlight w:val="lightGray"/>
              </w:rPr>
            </w:r>
          </w:p>
          <w:p>
            <w:pPr>
              <w:pStyle w:val="Normal"/>
              <w:widowControl w:val="false"/>
              <w:spacing w:lineRule="auto" w:line="240"/>
              <w:ind w:hanging="0"/>
              <w:jc w:val="left"/>
              <w:rPr>
                <w:sz w:val="24"/>
                <w:szCs w:val="24"/>
                <w:highlight w:val="lightGray"/>
              </w:rPr>
            </w:pPr>
            <w:r>
              <w:rPr>
                <w:sz w:val="24"/>
                <w:szCs w:val="24"/>
                <w:highlight w:val="lightGray"/>
              </w:rPr>
              <w:t xml:space="preserve">_______________ / _______________ </w:t>
            </w:r>
          </w:p>
          <w:p>
            <w:pPr>
              <w:pStyle w:val="Normal"/>
              <w:widowControl w:val="false"/>
              <w:spacing w:lineRule="auto" w:line="240"/>
              <w:ind w:hanging="0"/>
              <w:jc w:val="left"/>
              <w:rPr>
                <w:sz w:val="24"/>
                <w:szCs w:val="24"/>
                <w:highlight w:val="lightGray"/>
              </w:rPr>
            </w:pPr>
            <w:r>
              <w:rPr>
                <w:sz w:val="24"/>
                <w:szCs w:val="24"/>
                <w:highlight w:val="lightGray"/>
              </w:rPr>
            </w:r>
          </w:p>
        </w:tc>
        <w:tc>
          <w:tcPr>
            <w:tcW w:w="4777" w:type="dxa"/>
            <w:gridSpan w:val="2"/>
            <w:tcBorders/>
            <w:shd w:fill="auto" w:val="clear"/>
          </w:tcPr>
          <w:p>
            <w:pPr>
              <w:pStyle w:val="Normal"/>
              <w:widowControl w:val="false"/>
              <w:spacing w:lineRule="auto" w:line="240"/>
              <w:ind w:hanging="0"/>
              <w:jc w:val="left"/>
              <w:rPr>
                <w:sz w:val="24"/>
                <w:szCs w:val="24"/>
                <w:highlight w:val="lightGray"/>
              </w:rPr>
            </w:pPr>
            <w:r>
              <w:rPr>
                <w:sz w:val="24"/>
                <w:szCs w:val="24"/>
                <w:highlight w:val="lightGray"/>
              </w:rPr>
            </w:r>
          </w:p>
          <w:p>
            <w:pPr>
              <w:pStyle w:val="Normal"/>
              <w:widowControl w:val="false"/>
              <w:spacing w:lineRule="auto" w:line="240"/>
              <w:ind w:hanging="0"/>
              <w:jc w:val="left"/>
              <w:rPr>
                <w:sz w:val="24"/>
                <w:szCs w:val="24"/>
              </w:rPr>
            </w:pPr>
            <w:r>
              <w:rPr>
                <w:sz w:val="24"/>
                <w:szCs w:val="24"/>
                <w:highlight w:val="lightGray"/>
              </w:rPr>
              <w:t>_______________ / _______________</w:t>
            </w:r>
            <w:r>
              <w:rPr>
                <w:sz w:val="24"/>
                <w:szCs w:val="24"/>
              </w:rPr>
              <w:t xml:space="preserve"> </w:t>
            </w:r>
          </w:p>
        </w:tc>
        <w:tc>
          <w:tcPr>
            <w:tcW w:w="348" w:type="dxa"/>
            <w:tcBorders/>
            <w:shd w:fill="auto" w:val="clear"/>
          </w:tcPr>
          <w:p>
            <w:pPr>
              <w:pStyle w:val="Normal"/>
              <w:widowControl w:val="false"/>
              <w:rPr/>
            </w:pPr>
            <w:r>
              <w:rPr/>
            </w:r>
          </w:p>
        </w:tc>
      </w:tr>
    </w:tbl>
    <w:p>
      <w:pPr>
        <w:pStyle w:val="Normal"/>
        <w:pageBreakBefore w:val="false"/>
        <w:spacing w:lineRule="auto" w:line="240"/>
        <w:ind w:hanging="0" w:left="4820"/>
        <w:rPr/>
      </w:pPr>
      <w:r>
        <w:rPr/>
      </w:r>
    </w:p>
    <w:sectPr>
      <w:headerReference w:type="default" r:id="rId5"/>
      <w:footnotePr>
        <w:numFmt w:val="decimal"/>
      </w:footnotePr>
      <w:type w:val="nextPage"/>
      <w:pgSz w:w="11906" w:h="16838"/>
      <w:pgMar w:left="1418" w:right="567" w:gutter="0" w:header="567" w:top="624" w:footer="0" w:bottom="567"/>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PT Sans">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Liberation Serif">
    <w:altName w:val="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6"/>
        </w:rPr>
        <w:footnoteRef/>
      </w:r>
      <w:r>
        <w:rPr>
          <w:rFonts w:ascii="Liberation Serif" w:hAnsi="Liberation Serif"/>
          <w:sz w:val="22"/>
          <w:szCs w:val="22"/>
        </w:rPr>
        <w:t xml:space="preserve"> </w:t>
      </w:r>
      <w:r>
        <w:rPr>
          <w:rFonts w:ascii="Liberation Serif" w:hAnsi="Liberation Serif"/>
          <w:sz w:val="22"/>
          <w:szCs w:val="22"/>
        </w:rPr>
        <w:t>Приказ ФНС России от 20.01.2025 N ЕД-7-26/28@ «</w:t>
      </w:r>
      <w:r>
        <w:rPr>
          <w:rFonts w:ascii="Liberation Serif" w:hAnsi="Liberation Serif"/>
          <w:b w:val="false"/>
        </w:rPr>
        <w:t>О признании утратившими силу приказов ФНС России от 30.11.2015 N ММВ-7-10/551@ "Об утверждении формата представления документа о передаче товаров при торговых операциях в электронной форме" и от 30.11.2015 N ММВ-7-10/552@ "Об утверждении формата представления документа о передаче результатов работ (документа об оказании услуг) в электронной форме»</w:t>
      </w:r>
    </w:p>
  </w:footnote>
  <w:footnote w:id="3">
    <w:p>
      <w:pPr>
        <w:pStyle w:val="FootnoteText"/>
        <w:rPr/>
      </w:pPr>
      <w:r>
        <w:rPr>
          <w:rStyle w:val="Style6"/>
        </w:rPr>
        <w:footnoteRef/>
      </w:r>
      <w:r>
        <w:rPr>
          <w:rStyle w:val="Style6"/>
        </w:rPr>
        <w:tab/>
      </w:r>
      <w:r>
        <w:rPr/>
        <w:t xml:space="preserve"> Состав Работ корректируется исходя из содержания Технического задания.</w:t>
      </w:r>
    </w:p>
  </w:footnote>
  <w:footnote w:id="4">
    <w:p>
      <w:pPr>
        <w:pStyle w:val="FootnoteText"/>
        <w:jc w:val="both"/>
        <w:rPr/>
      </w:pPr>
      <w:r>
        <w:rPr>
          <w:rStyle w:val="Style6"/>
        </w:rPr>
        <w:footnoteRef/>
      </w:r>
      <w:r>
        <w:rPr>
          <w:rStyle w:val="Style6"/>
        </w:rPr>
        <w:tab/>
      </w:r>
      <w:r>
        <w:rPr/>
        <w:t xml:space="preserve"> Необходимость участия Подрядчика в конкретном СРО определяется в зависимости от состава Работ, выполняемых по Договору.</w:t>
      </w:r>
    </w:p>
  </w:footnote>
  <w:footnote w:id="5">
    <w:p>
      <w:pPr>
        <w:pStyle w:val="FootnoteText"/>
        <w:jc w:val="both"/>
        <w:rPr/>
      </w:pPr>
      <w:r>
        <w:rPr>
          <w:rStyle w:val="Style6"/>
        </w:rPr>
        <w:footnoteRef/>
      </w:r>
      <w:r>
        <w:rPr>
          <w:rStyle w:val="Style6"/>
        </w:rPr>
        <w:tab/>
      </w:r>
      <w:r>
        <w:rP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pPr>
        <w:pStyle w:val="FootnoteText"/>
        <w:tabs>
          <w:tab w:val="clear" w:pos="708"/>
          <w:tab w:val="left" w:pos="284" w:leader="none"/>
        </w:tabs>
        <w:jc w:val="both"/>
        <w:rPr/>
      </w:pPr>
      <w:r>
        <w:rPr/>
        <w:tab/>
        <w:t>-размер обязательств по одному договору не превышает 10 000 000 (десяти миллионов) рублей (по договорам строительного подряда);</w:t>
      </w:r>
    </w:p>
    <w:p>
      <w:pPr>
        <w:pStyle w:val="FootnoteText"/>
        <w:tabs>
          <w:tab w:val="clear" w:pos="708"/>
          <w:tab w:val="left" w:pos="284" w:leader="none"/>
        </w:tabs>
        <w:jc w:val="both"/>
        <w:rPr/>
      </w:pPr>
      <w:r>
        <w:rPr/>
        <w:tab/>
        <w:t>-</w:t>
        <w:tab/>
        <w:t>при выполнении работ по строительству, реконструкции, капитальному ремонту объектов, не являющихся объектами капитального строительства;</w:t>
      </w:r>
    </w:p>
    <w:p>
      <w:pPr>
        <w:pStyle w:val="FootnoteText"/>
        <w:tabs>
          <w:tab w:val="clear" w:pos="708"/>
          <w:tab w:val="left" w:pos="284" w:leader="none"/>
        </w:tabs>
        <w:jc w:val="both"/>
        <w:rPr/>
      </w:pPr>
      <w:r>
        <w:rPr/>
        <w:tab/>
        <w:t>-</w:t>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6">
    <w:p>
      <w:pPr>
        <w:pStyle w:val="FootnoteText"/>
        <w:jc w:val="both"/>
        <w:rPr/>
      </w:pPr>
      <w:r>
        <w:rPr>
          <w:rStyle w:val="Style6"/>
        </w:rPr>
        <w:footnoteRef/>
      </w:r>
      <w:r>
        <w:rPr>
          <w:rStyle w:val="Style6"/>
        </w:rPr>
        <w:tab/>
      </w:r>
      <w:r>
        <w:rPr/>
        <w:t xml:space="preserve"> Необходимость выполнения работ по Договору конкретными специалистами Подрядчика определяется </w:t>
        <w:br/>
        <w:t>в зависимости от состава Работ, выполняемых по Договору.</w:t>
      </w:r>
    </w:p>
  </w:footnote>
  <w:footnote w:id="7">
    <w:p>
      <w:pPr>
        <w:pStyle w:val="FootnoteText"/>
        <w:jc w:val="both"/>
        <w:rPr/>
      </w:pPr>
      <w:r>
        <w:rPr>
          <w:rStyle w:val="Style6"/>
        </w:rPr>
        <w:footnoteRef/>
      </w:r>
      <w:r>
        <w:rPr>
          <w:rStyle w:val="Style6"/>
        </w:rPr>
        <w:tab/>
      </w:r>
      <w:r>
        <w:rPr/>
        <w:t xml:space="preserve"> Данное ограничение не включает в себя обязанность, установленную пунктом 3.5.2 Договора, по привлечению МСП к исполнению обязательств по Договору.</w:t>
      </w:r>
    </w:p>
  </w:footnote>
  <w:footnote w:id="8">
    <w:p>
      <w:pPr>
        <w:pStyle w:val="FootnoteText"/>
        <w:jc w:val="both"/>
        <w:rPr/>
      </w:pPr>
      <w:r>
        <w:rPr>
          <w:rStyle w:val="Style6"/>
        </w:rPr>
        <w:footnoteRef/>
      </w:r>
      <w:r>
        <w:rPr>
          <w:rStyle w:val="Style6"/>
        </w:rPr>
        <w:tab/>
      </w:r>
      <w:r>
        <w:rPr/>
        <w:t xml:space="preserve"> </w:t>
      </w:r>
      <w:r>
        <w:rPr>
          <w:highlight w:val="lightGray"/>
        </w:rPr>
        <w:t>Условие включается в случае, когда на дату заключения Договора локальные сметные расчеты на Работы отсутствуют</w:t>
      </w:r>
      <w:r>
        <w:rPr/>
        <w:t>.</w:t>
      </w:r>
    </w:p>
  </w:footnote>
  <w:footnote w:id="9">
    <w:p>
      <w:pPr>
        <w:pStyle w:val="FootnoteText"/>
        <w:rPr/>
      </w:pPr>
      <w:r>
        <w:rPr>
          <w:rStyle w:val="Style6"/>
        </w:rPr>
        <w:footnoteRef/>
      </w:r>
      <w:r>
        <w:rPr>
          <w:rStyle w:val="Style6"/>
        </w:rPr>
        <w:tab/>
      </w:r>
      <w:r>
        <w:rPr/>
        <w:t xml:space="preserve"> Для договоров, заключенных в рамках операционной (текущей) деятельности Общества</w:t>
      </w:r>
    </w:p>
  </w:footnote>
  <w:footnote w:id="10">
    <w:p>
      <w:pPr>
        <w:pStyle w:val="FootnoteText"/>
        <w:rPr/>
      </w:pPr>
      <w:r>
        <w:rPr>
          <w:rStyle w:val="Style6"/>
        </w:rPr>
        <w:footnoteRef/>
      </w:r>
      <w:r>
        <w:rPr>
          <w:rStyle w:val="Style6"/>
        </w:rPr>
        <w:tab/>
      </w:r>
      <w:r>
        <w:rPr/>
        <w:t xml:space="preserve"> Для договоров, заключенных в рамках реализации инвестиционной программы Общества</w:t>
      </w:r>
    </w:p>
  </w:footnote>
  <w:footnote w:id="11">
    <w:p>
      <w:pPr>
        <w:pStyle w:val="FootnoteText"/>
        <w:rPr/>
      </w:pPr>
      <w:r>
        <w:rPr>
          <w:rStyle w:val="Style6"/>
        </w:rPr>
        <w:footnoteRef/>
      </w:r>
      <w:r>
        <w:rPr>
          <w:rStyle w:val="Style6"/>
        </w:rPr>
        <w:tab/>
      </w:r>
      <w:r>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pPr>
        <w:pStyle w:val="FootnoteText"/>
        <w:rPr/>
      </w:pPr>
      <w:r>
        <w:rPr>
          <w:rStyle w:val="Style6"/>
        </w:rPr>
        <w:footnoteRef/>
      </w:r>
      <w:r>
        <w:rPr>
          <w:rStyle w:val="Style6"/>
        </w:rPr>
        <w:tab/>
      </w:r>
      <w:r>
        <w:rPr/>
        <w:t xml:space="preserve"> Если победителем закупки будет субъект МСП  срок уплаты последующего платежа составит 7 (семь) рабочих дней</w:t>
      </w:r>
    </w:p>
  </w:footnote>
  <w:footnote w:id="13">
    <w:p>
      <w:pPr>
        <w:pStyle w:val="FootnoteText"/>
        <w:jc w:val="both"/>
        <w:rPr/>
      </w:pPr>
      <w:r>
        <w:rPr>
          <w:rStyle w:val="Style6"/>
        </w:rPr>
        <w:footnoteRef/>
      </w:r>
      <w:r>
        <w:rPr>
          <w:rStyle w:val="Style6"/>
        </w:rPr>
        <w:tab/>
      </w:r>
      <w:r>
        <w:rPr/>
        <w:t xml:space="preserve"> Применяется в случае, если Контрагент является субъектом МСП, для закупок, участниками которых могут быть только субъекты МСП, а также в случае, если по результатам закупки среди любых участников победителем закупки признан субъект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4">
    <w:p>
      <w:pPr>
        <w:pStyle w:val="FootnoteText"/>
        <w:jc w:val="both"/>
        <w:rPr/>
      </w:pPr>
      <w:r>
        <w:rPr>
          <w:rStyle w:val="Style6"/>
        </w:rPr>
        <w:footnoteRef/>
      </w:r>
      <w:r>
        <w:rPr>
          <w:rStyle w:val="Style6"/>
        </w:rPr>
        <w:tab/>
      </w:r>
      <w:r>
        <w:rPr/>
        <w:t xml:space="preserve"> Затраты на временные здания и сооружения, а также непредвиденные работы и затраты, не включаются </w:t>
        <w:br/>
        <w:t xml:space="preserve">в стоимость Этапов Работ. Лимиты на такие работы и затраты указываются на основании Сводного сметного расчета в </w:t>
      </w:r>
      <w:r>
        <w:rPr>
          <w:bCs/>
        </w:rPr>
        <w:t>Календарном графике поставки оборудования и выполнения работ (Приложение № 3 к Договору) справочно за рамками Этапов Работ.</w:t>
      </w:r>
    </w:p>
  </w:footnote>
  <w:footnote w:id="15">
    <w:p>
      <w:pPr>
        <w:pStyle w:val="FootnoteText"/>
        <w:rPr/>
      </w:pPr>
      <w:r>
        <w:rPr>
          <w:rStyle w:val="Style6"/>
        </w:rPr>
        <w:footnoteRef/>
      </w:r>
      <w:r>
        <w:rPr>
          <w:rStyle w:val="Style6"/>
        </w:rPr>
        <w:tab/>
      </w:r>
      <w:r>
        <w:rPr>
          <w:highlight w:val="lightGray"/>
        </w:rPr>
        <w:t xml:space="preserve"> Для договоров, заключенных в рамках операционной (текущей) деятельности Общества</w:t>
      </w:r>
    </w:p>
  </w:footnote>
  <w:footnote w:id="16">
    <w:p>
      <w:pPr>
        <w:pStyle w:val="FootnoteText"/>
        <w:rPr/>
      </w:pPr>
      <w:r>
        <w:rPr>
          <w:rStyle w:val="Style6"/>
        </w:rPr>
        <w:footnoteRef/>
      </w:r>
      <w:r>
        <w:rPr>
          <w:rStyle w:val="Style6"/>
        </w:rPr>
        <w:tab/>
      </w:r>
      <w:r>
        <w:rPr>
          <w:highlight w:val="lightGray"/>
        </w:rPr>
        <w:t xml:space="preserve"> Для договоров, заключенных в рамках реализации инвестиционной программы Общества</w:t>
      </w:r>
    </w:p>
  </w:footnote>
  <w:footnote w:id="17">
    <w:p>
      <w:pPr>
        <w:pStyle w:val="FootnoteText"/>
        <w:jc w:val="both"/>
        <w:rPr/>
      </w:pPr>
      <w:r>
        <w:rPr>
          <w:rStyle w:val="Style6"/>
        </w:rPr>
        <w:footnoteRef/>
      </w:r>
      <w:r>
        <w:rPr>
          <w:rStyle w:val="Style6"/>
        </w:rPr>
        <w:tab/>
      </w:r>
      <w:r>
        <w:rPr>
          <w:highlight w:val="lightGray"/>
        </w:rPr>
        <w:t xml:space="preserve"> Применяется в случае, если Контрагент является субъектом МСП, для закупок, участниками которых могут быть только субъекты МСП, а также в случае, если по результатам закупки среди любых участников победителем закупки признан субъект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8">
    <w:p>
      <w:pPr>
        <w:pStyle w:val="FootnoteText"/>
        <w:rPr/>
      </w:pPr>
      <w:r>
        <w:rPr>
          <w:rStyle w:val="Style6"/>
        </w:rPr>
        <w:footnoteRef/>
      </w:r>
      <w:r>
        <w:rPr>
          <w:rStyle w:val="Style6"/>
        </w:rPr>
        <w:tab/>
      </w:r>
      <w:r>
        <w:rPr>
          <w:highlight w:val="lightGray"/>
        </w:rPr>
        <w:t xml:space="preserve"> Для договоров, заключенных в рамках операционной (текущей) деятельности Общества</w:t>
      </w:r>
    </w:p>
  </w:footnote>
  <w:footnote w:id="19">
    <w:p>
      <w:pPr>
        <w:pStyle w:val="FootnoteText"/>
        <w:rPr/>
      </w:pPr>
      <w:r>
        <w:rPr>
          <w:rStyle w:val="Style6"/>
        </w:rPr>
        <w:footnoteRef/>
      </w:r>
      <w:r>
        <w:rPr>
          <w:rStyle w:val="Style6"/>
        </w:rPr>
        <w:tab/>
      </w:r>
      <w:r>
        <w:rPr>
          <w:highlight w:val="lightGray"/>
        </w:rPr>
        <w:t xml:space="preserve"> Для договоров, заключенных в рамках реализации инвестиционной программы Общества</w:t>
      </w:r>
    </w:p>
  </w:footnote>
  <w:footnote w:id="20">
    <w:p>
      <w:pPr>
        <w:pStyle w:val="FootnoteText"/>
        <w:jc w:val="both"/>
        <w:rPr/>
      </w:pPr>
      <w:r>
        <w:rPr>
          <w:rStyle w:val="Style6"/>
        </w:rPr>
        <w:footnoteRef/>
      </w:r>
      <w:r>
        <w:rPr>
          <w:rStyle w:val="Style6"/>
        </w:rPr>
        <w:tab/>
      </w:r>
      <w:r>
        <w:rPr>
          <w:highlight w:val="lightGray"/>
        </w:rPr>
        <w:t xml:space="preserve"> Применяется в случае, если Контрагент является субъектом МСП, для закупок, участниками которых могут быть только субъекты МСП, а также в случае, если по результатам закупки среди любых участников победителем закупки признан субъект МСП, при этом Общество попадает под действие постановления Правительства РФ от 11.12.2014 №1352 «Об</w:t>
      </w:r>
      <w:r>
        <w:rPr/>
        <w:t xml:space="preserve">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1">
    <w:p>
      <w:pPr>
        <w:pStyle w:val="FootnoteText"/>
        <w:rPr/>
      </w:pPr>
      <w:r>
        <w:rPr>
          <w:rStyle w:val="Style6"/>
        </w:rPr>
        <w:footnoteRef/>
      </w:r>
      <w:r>
        <w:rPr>
          <w:rFonts w:ascii="Liberation Serif" w:hAnsi="Liberation Serif"/>
          <w:sz w:val="22"/>
          <w:szCs w:val="22"/>
        </w:rPr>
        <w:t xml:space="preserve"> </w:t>
      </w:r>
      <w:r>
        <w:rPr>
          <w:rFonts w:ascii="Liberation Serif" w:hAnsi="Liberation Serif"/>
          <w:sz w:val="22"/>
          <w:szCs w:val="22"/>
        </w:rPr>
        <w:t>Приказ ФНС России от 20.01.2025 N ЕД-7-26/28@ «</w:t>
      </w:r>
      <w:r>
        <w:rPr>
          <w:rFonts w:ascii="Liberation Serif" w:hAnsi="Liberation Serif"/>
          <w:b w:val="false"/>
        </w:rPr>
        <w:t>О признании утратившими силу приказов ФНС России от 30.11.2015 N ММВ-7-10/551@ "Об утверждении формата представления документа о передаче товаров при торговых операциях в электронной форме" и от 30.11.2015 N ММВ-7-10/552@ "Об утверждении формата представления документа о передаче результатов работ (документа об оказании услуг) в электронной форме»</w:t>
      </w:r>
    </w:p>
  </w:footnote>
  <w:footnote w:id="22">
    <w:p>
      <w:pPr>
        <w:pStyle w:val="Normal"/>
        <w:spacing w:lineRule="auto" w:line="240"/>
        <w:ind w:hanging="0"/>
        <w:rPr/>
      </w:pPr>
      <w:r>
        <w:rPr>
          <w:rStyle w:val="Style6"/>
        </w:rPr>
        <w:footnoteRef/>
      </w:r>
      <w:r>
        <w:rPr>
          <w:rStyle w:val="Style6"/>
        </w:rPr>
        <w:tab/>
      </w:r>
      <w:r>
        <w:rPr>
          <w:sz w:val="20"/>
          <w:szCs w:val="20"/>
        </w:rPr>
        <w:t xml:space="preserve"> Для Банковской гарантии возврата авансового платежа</w:t>
      </w:r>
    </w:p>
  </w:footnote>
  <w:footnote w:id="23">
    <w:p>
      <w:pPr>
        <w:pStyle w:val="FootnoteText"/>
        <w:jc w:val="both"/>
        <w:rPr/>
      </w:pPr>
      <w:r>
        <w:rPr>
          <w:rStyle w:val="Style6"/>
        </w:rPr>
        <w:footnoteRef/>
      </w:r>
      <w:r>
        <w:rPr>
          <w:rStyle w:val="Style6"/>
        </w:rPr>
        <w:tab/>
      </w:r>
      <w:r>
        <w:rPr/>
        <w:t xml:space="preserve"> В случае непредоставления новой Банковской гарантии возврата авансового платежа.</w:t>
      </w:r>
    </w:p>
  </w:footnote>
  <w:footnote w:id="24">
    <w:p>
      <w:pPr>
        <w:pStyle w:val="FootnoteText"/>
        <w:jc w:val="both"/>
        <w:rPr/>
      </w:pPr>
      <w:r>
        <w:rPr>
          <w:rStyle w:val="Style6"/>
        </w:rPr>
        <w:footnoteRef/>
      </w:r>
      <w:r>
        <w:rPr>
          <w:rStyle w:val="Style6"/>
        </w:rPr>
        <w:tab/>
      </w:r>
      <w:r>
        <w:rPr/>
        <w:t xml:space="preserve"> В случае непредоставления Банковской гарантии надлежащего исполнения Договора.</w:t>
      </w:r>
    </w:p>
  </w:footnote>
  <w:footnote w:id="25">
    <w:p>
      <w:pPr>
        <w:pStyle w:val="FootnoteText"/>
        <w:jc w:val="both"/>
        <w:rPr/>
      </w:pPr>
      <w:r>
        <w:rPr>
          <w:rStyle w:val="Style6"/>
        </w:rPr>
        <w:footnoteRef/>
      </w:r>
      <w:r>
        <w:rPr>
          <w:rStyle w:val="Style6"/>
        </w:rPr>
        <w:tab/>
      </w:r>
      <w:r>
        <w:rPr/>
        <w:t xml:space="preserve"> В отношении Банковской гарантии возврата авансового платежа пункт применяется при отсутствии соглашения Сторон 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26">
    <w:p>
      <w:pPr>
        <w:pStyle w:val="FootnoteText"/>
        <w:jc w:val="both"/>
        <w:rPr/>
      </w:pPr>
      <w:r>
        <w:rPr>
          <w:rStyle w:val="Style6"/>
        </w:rPr>
        <w:footnoteRef/>
      </w:r>
      <w:r>
        <w:rPr>
          <w:rStyle w:val="Style6"/>
        </w:rPr>
        <w:tab/>
      </w:r>
      <w:r>
        <w:rPr/>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27">
    <w:p>
      <w:pPr>
        <w:pStyle w:val="FootnoteText"/>
        <w:jc w:val="both"/>
        <w:rPr/>
      </w:pPr>
      <w:r>
        <w:rPr>
          <w:rStyle w:val="Style6"/>
        </w:rPr>
        <w:footnoteRef/>
      </w:r>
      <w:r>
        <w:rPr>
          <w:rStyle w:val="Style6"/>
        </w:rPr>
        <w:tab/>
      </w:r>
      <w:r>
        <w:rPr/>
        <w:t xml:space="preserve"> В случае если членство в СРО требуется в соответствии с законодательством Российской Федерации </w:t>
      </w:r>
    </w:p>
  </w:footnote>
  <w:footnote w:id="28">
    <w:p>
      <w:pPr>
        <w:pStyle w:val="FootnoteText"/>
        <w:jc w:val="both"/>
        <w:rPr/>
      </w:pPr>
      <w:r>
        <w:rPr>
          <w:rStyle w:val="Style6"/>
        </w:rPr>
        <w:footnoteRef/>
      </w:r>
      <w:r>
        <w:rPr>
          <w:rStyle w:val="Style6"/>
        </w:rPr>
        <w:tab/>
      </w:r>
      <w:r>
        <w:rPr/>
        <w:t xml:space="preserve"> В случае если членство в СРО требуется в соответствии с законодательством Российской Федерации</w:t>
      </w:r>
    </w:p>
  </w:footnote>
  <w:footnote w:id="29">
    <w:p>
      <w:pPr>
        <w:pStyle w:val="FootnoteText"/>
        <w:jc w:val="both"/>
        <w:rPr/>
      </w:pPr>
      <w:r>
        <w:rPr>
          <w:rStyle w:val="Style6"/>
        </w:rPr>
        <w:footnoteRef/>
      </w:r>
      <w:r>
        <w:rPr>
          <w:rStyle w:val="Style6"/>
        </w:rPr>
        <w:tab/>
      </w:r>
      <w:r>
        <w:rP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30">
    <w:p>
      <w:pPr>
        <w:pStyle w:val="FootnoteText"/>
        <w:jc w:val="both"/>
        <w:rPr/>
      </w:pPr>
      <w:r>
        <w:rPr>
          <w:rStyle w:val="Style6"/>
        </w:rPr>
        <w:footnoteRef/>
      </w:r>
      <w:r>
        <w:rPr>
          <w:rStyle w:val="Style6"/>
        </w:rPr>
        <w:tab/>
      </w:r>
      <w:r>
        <w:rP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31">
    <w:p>
      <w:pPr>
        <w:pStyle w:val="FootnoteText"/>
        <w:jc w:val="both"/>
        <w:rPr/>
      </w:pPr>
      <w:r>
        <w:rPr>
          <w:rStyle w:val="Style6"/>
        </w:rPr>
        <w:footnoteRef/>
      </w:r>
      <w:r>
        <w:rPr>
          <w:rStyle w:val="Style6"/>
        </w:rPr>
        <w:tab/>
      </w:r>
      <w:r>
        <w:rPr/>
        <w:t xml:space="preserve"> С учетом комментариев к пункту 3.3.9 Договора.</w:t>
      </w:r>
    </w:p>
  </w:footnote>
  <w:footnote w:id="32">
    <w:p>
      <w:pPr>
        <w:pStyle w:val="FootnoteText"/>
        <w:rPr/>
      </w:pPr>
      <w:r>
        <w:rPr>
          <w:rStyle w:val="Style6"/>
        </w:rPr>
        <w:footnoteRef/>
      </w:r>
      <w:r>
        <w:rPr>
          <w:rStyle w:val="Style6"/>
        </w:rPr>
        <w:tab/>
      </w:r>
      <w:r>
        <w:rPr/>
        <w:t xml:space="preserve"> Абзацы второй и третий включаются в текст договора в случае заключения договора в электронной форме.</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hanging="0"/>
      <w:jc w:val="center"/>
      <w:rPr>
        <w:i/>
        <w:i/>
        <w:sz w:val="22"/>
        <w:szCs w:val="24"/>
      </w:rPr>
    </w:pPr>
    <w:r>
      <w:rPr>
        <w:i/>
        <w:sz w:val="22"/>
        <w:szCs w:val="24"/>
      </w:rPr>
      <w:t>ТФД №1.1.1 Договор подряда на выполнение работ по реконструкции/ модернизации «под ключ»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sz w:val="24"/>
        <w:u w:val="none"/>
        <w:b/>
      </w:rPr>
    </w:lvl>
    <w:lvl w:ilvl="2">
      <w:start w:val="1"/>
      <w:numFmt w:val="decimal"/>
      <w:lvlText w:val="%1.%2.%3."/>
      <w:lvlJc w:val="left"/>
      <w:pPr>
        <w:tabs>
          <w:tab w:val="num" w:pos="0"/>
        </w:tabs>
        <w:ind w:left="3907"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7">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sz w:val="24"/>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3"/>
      <w:numFmt w:val="decimal"/>
      <w:lvlText w:val="%1."/>
      <w:lvlJc w:val="left"/>
      <w:pPr>
        <w:tabs>
          <w:tab w:val="num" w:pos="0"/>
        </w:tabs>
        <w:ind w:left="540" w:hanging="540"/>
      </w:pPr>
      <w:rPr/>
    </w:lvl>
    <w:lvl w:ilvl="1">
      <w:start w:val="5"/>
      <w:numFmt w:val="decimal"/>
      <w:lvlText w:val="%1.%2."/>
      <w:lvlJc w:val="left"/>
      <w:pPr>
        <w:tabs>
          <w:tab w:val="num" w:pos="0"/>
        </w:tabs>
        <w:ind w:left="894" w:hanging="540"/>
      </w:pPr>
      <w:rPr/>
    </w:lvl>
    <w:lvl w:ilvl="2">
      <w:start w:val="1"/>
      <w:numFmt w:val="decimal"/>
      <w:lvlText w:val="%1.%2.%3."/>
      <w:lvlJc w:val="left"/>
      <w:pPr>
        <w:tabs>
          <w:tab w:val="num" w:pos="0"/>
        </w:tabs>
        <w:ind w:left="1428" w:hanging="720"/>
      </w:pPr>
      <w:rPr/>
    </w:lvl>
    <w:lvl w:ilvl="3">
      <w:start w:val="1"/>
      <w:numFmt w:val="decimal"/>
      <w:lvlText w:val="%1.%2.%3.%4."/>
      <w:lvlJc w:val="left"/>
      <w:pPr>
        <w:tabs>
          <w:tab w:val="num" w:pos="0"/>
        </w:tabs>
        <w:ind w:left="1782" w:hanging="72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2850" w:hanging="1080"/>
      </w:pPr>
      <w:rPr/>
    </w:lvl>
    <w:lvl w:ilvl="6">
      <w:start w:val="1"/>
      <w:numFmt w:val="decimal"/>
      <w:lvlText w:val="%1.%2.%3.%4.%5.%6.%7."/>
      <w:lvlJc w:val="left"/>
      <w:pPr>
        <w:tabs>
          <w:tab w:val="num" w:pos="0"/>
        </w:tabs>
        <w:ind w:left="3564" w:hanging="1440"/>
      </w:pPr>
      <w:rPr/>
    </w:lvl>
    <w:lvl w:ilvl="7">
      <w:start w:val="1"/>
      <w:numFmt w:val="decimal"/>
      <w:lvlText w:val="%1.%2.%3.%4.%5.%6.%7.%8."/>
      <w:lvlJc w:val="left"/>
      <w:pPr>
        <w:tabs>
          <w:tab w:val="num" w:pos="0"/>
        </w:tabs>
        <w:ind w:left="3918" w:hanging="1440"/>
      </w:pPr>
      <w:rPr/>
    </w:lvl>
    <w:lvl w:ilvl="8">
      <w:start w:val="1"/>
      <w:numFmt w:val="decimal"/>
      <w:lvlText w:val="%1.%2.%3.%4.%5.%6.%7.%8.%9."/>
      <w:lvlJc w:val="left"/>
      <w:pPr>
        <w:tabs>
          <w:tab w:val="num" w:pos="0"/>
        </w:tabs>
        <w:ind w:left="4632"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2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name w:val="Символ сноски"/>
    <w:qFormat/>
    <w:rPr>
      <w:vertAlign w:val="superscript"/>
    </w:rPr>
  </w:style>
  <w:style w:type="character" w:styleId="FootnoteReference">
    <w:name w:val="Footnote Reference"/>
    <w:rPr>
      <w:vertAlign w:val="superscript"/>
    </w:rPr>
  </w:style>
  <w:style w:type="character" w:styleId="FootnoteCharacters">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qFormat/>
    <w:rsid w:val="00ae674d"/>
    <w:rPr>
      <w:sz w:val="22"/>
      <w:szCs w:val="22"/>
      <w:shd w:fill="FFFFFF" w:val="clear"/>
    </w:rPr>
  </w:style>
  <w:style w:type="character" w:styleId="11" w:customStyle="1">
    <w:name w:val="Заголовок 1 Знак"/>
    <w:qFormat/>
    <w:rsid w:val="00ae674d"/>
    <w:rPr>
      <w:rFonts w:ascii="Cambria" w:hAnsi="Cambria" w:eastAsia="Times New Roman" w:cs="Times New Roman"/>
      <w:b/>
      <w:bCs/>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Hyperlink">
    <w:name w:val="Hyperlink"/>
    <w:uiPriority w:val="99"/>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name w:val="Символ концевой сноски"/>
    <w:qFormat/>
    <w:rPr>
      <w:vertAlign w:val="superscript"/>
    </w:rPr>
  </w:style>
  <w:style w:type="character" w:styleId="EndnoteReference">
    <w:name w:val="Endnote Reference"/>
    <w:rPr>
      <w:vertAlign w:val="superscript"/>
    </w:rPr>
  </w:style>
  <w:style w:type="character" w:styleId="EndnoteCharacters">
    <w:name w:val="Endnote Characters"/>
    <w:uiPriority w:val="99"/>
    <w:semiHidden/>
    <w:unhideWhenUsed/>
    <w:qFormat/>
    <w:rsid w:val="008c02d8"/>
    <w:rPr>
      <w:vertAlign w:val="superscript"/>
    </w:rPr>
  </w:style>
  <w:style w:type="character" w:styleId="Style16" w:customStyle="1">
    <w:name w:val="Абзац списка Знак"/>
    <w:link w:val="ListParagraph"/>
    <w:uiPriority w:val="34"/>
    <w:qFormat/>
    <w:locked/>
    <w:rsid w:val="0047622f"/>
    <w:rPr>
      <w:sz w:val="24"/>
      <w:szCs w:val="24"/>
    </w:rPr>
  </w:style>
  <w:style w:type="character" w:styleId="Style17" w:customStyle="1">
    <w:name w:val="Верхний колонтитул Знак"/>
    <w:basedOn w:val="DefaultParagraphFont"/>
    <w:qFormat/>
    <w:rsid w:val="005571aa"/>
    <w:rPr>
      <w:sz w:val="28"/>
      <w:szCs w:val="28"/>
    </w:rPr>
  </w:style>
  <w:style w:type="character" w:styleId="WW8Num1z0">
    <w:name w:val="WW8Num1z0"/>
    <w:qFormat/>
    <w:rPr>
      <w:rFonts w:ascii="Times New Roman" w:hAnsi="Times New Roman" w:cs="Times New Roman"/>
      <w:sz w:val="18"/>
      <w:szCs w:val="18"/>
    </w:rPr>
  </w:style>
  <w:style w:type="character" w:styleId="Style18">
    <w:name w:val="Маркеры"/>
    <w:qFormat/>
    <w:rPr>
      <w:rFonts w:ascii="OpenSymbol" w:hAnsi="OpenSymbol" w:eastAsia="OpenSymbol" w:cs="OpenSymbol"/>
    </w:rPr>
  </w:style>
  <w:style w:type="character" w:styleId="Style19">
    <w:name w:val="Символы концевой сноски"/>
    <w:qFormat/>
    <w:rPr/>
  </w:style>
  <w:style w:type="character" w:styleId="FollowedHyperlink">
    <w:name w:val="FollowedHyperlink"/>
    <w:rPr>
      <w:color w:val="800080"/>
      <w:u w:val="single"/>
    </w:rPr>
  </w:style>
  <w:style w:type="character" w:styleId="EndnoteReference1">
    <w:name w:val="Endnote Reference1"/>
    <w:qFormat/>
    <w:rPr>
      <w:vertAlign w:val="superscript"/>
    </w:rPr>
  </w:style>
  <w:style w:type="character" w:styleId="FootnoteReference1">
    <w:name w:val="Footnote Reference1"/>
    <w:qFormat/>
    <w:rPr>
      <w:vertAlign w:val="superscript"/>
    </w:rPr>
  </w:style>
  <w:style w:type="character" w:styleId="EndnoteReference3">
    <w:name w:val="Endnote Reference3"/>
    <w:qFormat/>
    <w:rPr>
      <w:vertAlign w:val="superscript"/>
    </w:rPr>
  </w:style>
  <w:style w:type="character" w:styleId="FootnoteReference3">
    <w:name w:val="Footnote Reference3"/>
    <w:qFormat/>
    <w:rPr>
      <w:vertAlign w:val="superscript"/>
    </w:rPr>
  </w:style>
  <w:style w:type="character" w:styleId="EndnoteReference2">
    <w:name w:val="Endnote Reference2"/>
    <w:qFormat/>
    <w:rPr>
      <w:vertAlign w:val="superscript"/>
    </w:rPr>
  </w:style>
  <w:style w:type="character" w:styleId="FootnoteReference2">
    <w:name w:val="Footnote Reference2"/>
    <w:qFormat/>
    <w:rPr>
      <w:vertAlign w:val="superscript"/>
    </w:rPr>
  </w:style>
  <w:style w:type="character" w:styleId="EndnoteReference11">
    <w:name w:val="Endnote Reference11"/>
    <w:qFormat/>
    <w:rPr>
      <w:vertAlign w:val="superscript"/>
    </w:rPr>
  </w:style>
  <w:style w:type="character" w:styleId="WW-">
    <w:name w:val="WW-Символы концевой сноски"/>
    <w:qFormat/>
    <w:rPr/>
  </w:style>
  <w:style w:type="character" w:styleId="FootnoteReference11">
    <w:name w:val="Footnote Reference11"/>
    <w:qFormat/>
    <w:rPr>
      <w:vertAlign w:val="superscript"/>
    </w:rPr>
  </w:style>
  <w:style w:type="character" w:styleId="Style20">
    <w:name w:val="Название Знак"/>
    <w:qFormat/>
    <w:rPr>
      <w:b/>
      <w:bCs/>
      <w:sz w:val="24"/>
      <w:szCs w:val="24"/>
    </w:rPr>
  </w:style>
  <w:style w:type="character" w:styleId="Style21">
    <w:name w:val="Основной текст Знак"/>
    <w:qFormat/>
    <w:rPr>
      <w:sz w:val="24"/>
      <w:szCs w:val="24"/>
    </w:rPr>
  </w:style>
  <w:style w:type="character" w:styleId="Style22">
    <w:name w:val="Знак примечания"/>
    <w:qFormat/>
    <w:rPr>
      <w:sz w:val="16"/>
      <w:szCs w:val="16"/>
    </w:rPr>
  </w:style>
  <w:style w:type="character" w:styleId="PageNumber">
    <w:name w:val="Page Number"/>
    <w:basedOn w:val="Style23"/>
    <w:rPr/>
  </w:style>
  <w:style w:type="character" w:styleId="Style23">
    <w:name w:val="Основной шрифт абзаца"/>
    <w:qFormat/>
    <w:rPr/>
  </w:style>
  <w:style w:type="character" w:styleId="WW8Num29z0">
    <w:name w:val="WW8Num29z0"/>
    <w:qFormat/>
    <w:rPr/>
  </w:style>
  <w:style w:type="character" w:styleId="WW8Num28z2">
    <w:name w:val="WW8Num28z2"/>
    <w:qFormat/>
    <w:rPr>
      <w:rFonts w:ascii="Wingdings" w:hAnsi="Wingdings" w:cs="Wingdings"/>
    </w:rPr>
  </w:style>
  <w:style w:type="character" w:styleId="WW8Num28z1">
    <w:name w:val="WW8Num28z1"/>
    <w:qFormat/>
    <w:rPr>
      <w:rFonts w:ascii="Courier New" w:hAnsi="Courier New" w:cs="Courier New"/>
    </w:rPr>
  </w:style>
  <w:style w:type="character" w:styleId="WW8Num28z0">
    <w:name w:val="WW8Num28z0"/>
    <w:qFormat/>
    <w:rPr>
      <w:rFonts w:ascii="Symbol" w:hAnsi="Symbol" w:cs="Symbol"/>
    </w:rPr>
  </w:style>
  <w:style w:type="character" w:styleId="WW8Num27z0">
    <w:name w:val="WW8Num27z0"/>
    <w:qFormat/>
    <w:rPr/>
  </w:style>
  <w:style w:type="character" w:styleId="WW8Num26z0">
    <w:name w:val="WW8Num26z0"/>
    <w:qFormat/>
    <w:rPr/>
  </w:style>
  <w:style w:type="character" w:styleId="WW8Num25z2">
    <w:name w:val="WW8Num25z2"/>
    <w:qFormat/>
    <w:rPr>
      <w:rFonts w:ascii="Wingdings" w:hAnsi="Wingdings" w:cs="Wingdings"/>
    </w:rPr>
  </w:style>
  <w:style w:type="character" w:styleId="WW8Num25z1">
    <w:name w:val="WW8Num25z1"/>
    <w:qFormat/>
    <w:rPr>
      <w:rFonts w:ascii="Courier New" w:hAnsi="Courier New" w:cs="Courier New"/>
    </w:rPr>
  </w:style>
  <w:style w:type="character" w:styleId="WW8Num25z0">
    <w:name w:val="WW8Num25z0"/>
    <w:qFormat/>
    <w:rPr>
      <w:rFonts w:ascii="Symbol" w:hAnsi="Symbol" w:cs="Symbol"/>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4z3">
    <w:name w:val="WW8Num24z3"/>
    <w:qFormat/>
    <w:rPr/>
  </w:style>
  <w:style w:type="character" w:styleId="WW8Num24z2">
    <w:name w:val="WW8Num24z2"/>
    <w:qFormat/>
    <w:rPr>
      <w:b w:val="false"/>
      <w:sz w:val="24"/>
      <w:szCs w:val="24"/>
    </w:rPr>
  </w:style>
  <w:style w:type="character" w:styleId="WW8Num24z1">
    <w:name w:val="WW8Num24z1"/>
    <w:qFormat/>
    <w:rPr>
      <w:b w:val="false"/>
      <w:u w:val="none"/>
    </w:rPr>
  </w:style>
  <w:style w:type="character" w:styleId="WW8Num24z0">
    <w:name w:val="WW8Num24z0"/>
    <w:qFormat/>
    <w:rPr>
      <w:b/>
    </w:rPr>
  </w:style>
  <w:style w:type="character" w:styleId="WW8Num23z2">
    <w:name w:val="WW8Num23z2"/>
    <w:qFormat/>
    <w:rPr>
      <w:rFonts w:ascii="Wingdings" w:hAnsi="Wingdings" w:cs="Wingdings"/>
    </w:rPr>
  </w:style>
  <w:style w:type="character" w:styleId="WW8Num23z1">
    <w:name w:val="WW8Num23z1"/>
    <w:qFormat/>
    <w:rPr>
      <w:rFonts w:ascii="Courier New" w:hAnsi="Courier New" w:cs="Courier New"/>
    </w:rPr>
  </w:style>
  <w:style w:type="character" w:styleId="WW8Num23z0">
    <w:name w:val="WW8Num23z0"/>
    <w:qFormat/>
    <w:rPr>
      <w:rFonts w:ascii="Symbol" w:hAnsi="Symbol" w:cs="Symbol"/>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2z3">
    <w:name w:val="WW8Num22z3"/>
    <w:qFormat/>
    <w:rPr/>
  </w:style>
  <w:style w:type="character" w:styleId="WW8Num22z2">
    <w:name w:val="WW8Num22z2"/>
    <w:qFormat/>
    <w:rPr/>
  </w:style>
  <w:style w:type="character" w:styleId="WW8Num22z1">
    <w:name w:val="WW8Num22z1"/>
    <w:qFormat/>
    <w:rPr/>
  </w:style>
  <w:style w:type="character" w:styleId="WW8Num22z0">
    <w:name w:val="WW8Num22z0"/>
    <w:qFormat/>
    <w:rPr>
      <w:sz w:val="24"/>
      <w:szCs w:val="24"/>
    </w:rPr>
  </w:style>
  <w:style w:type="character" w:styleId="WW8Num21z2">
    <w:name w:val="WW8Num21z2"/>
    <w:qFormat/>
    <w:rPr>
      <w:rFonts w:ascii="Wingdings" w:hAnsi="Wingdings" w:cs="Wingdings"/>
    </w:rPr>
  </w:style>
  <w:style w:type="character" w:styleId="WW8Num21z1">
    <w:name w:val="WW8Num21z1"/>
    <w:qFormat/>
    <w:rPr>
      <w:rFonts w:ascii="Courier New" w:hAnsi="Courier New" w:cs="Courier New"/>
    </w:rPr>
  </w:style>
  <w:style w:type="character" w:styleId="WW8Num21z0">
    <w:name w:val="WW8Num21z0"/>
    <w:qFormat/>
    <w:rPr>
      <w:rFonts w:ascii="Symbol" w:hAnsi="Symbol" w:cs="Symbol"/>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b w:val="false"/>
      <w:sz w:val="24"/>
      <w:szCs w:val="24"/>
    </w:rPr>
  </w:style>
  <w:style w:type="character" w:styleId="WW8Num20z1">
    <w:name w:val="WW8Num20z1"/>
    <w:qFormat/>
    <w:rPr>
      <w:rFonts w:ascii="Symbol" w:hAnsi="Symbol" w:cs="Symbol"/>
      <w:b w:val="false"/>
      <w:u w:val="none"/>
    </w:rPr>
  </w:style>
  <w:style w:type="character" w:styleId="WW8Num20z0">
    <w:name w:val="WW8Num20z0"/>
    <w:qFormat/>
    <w:rPr>
      <w:b/>
    </w:rPr>
  </w:style>
  <w:style w:type="character" w:styleId="WW8Num19z2">
    <w:name w:val="WW8Num19z2"/>
    <w:qFormat/>
    <w:rPr>
      <w:rFonts w:ascii="Wingdings" w:hAnsi="Wingdings" w:cs="Wingdings"/>
    </w:rPr>
  </w:style>
  <w:style w:type="character" w:styleId="WW8Num19z1">
    <w:name w:val="WW8Num19z1"/>
    <w:qFormat/>
    <w:rPr>
      <w:rFonts w:ascii="Courier New" w:hAnsi="Courier New" w:cs="Courier New"/>
    </w:rPr>
  </w:style>
  <w:style w:type="character" w:styleId="WW8Num19z0">
    <w:name w:val="WW8Num19z0"/>
    <w:qFormat/>
    <w:rPr>
      <w:rFonts w:ascii="Symbol" w:hAnsi="Symbol" w:cs="Symbol"/>
    </w:rPr>
  </w:style>
  <w:style w:type="character" w:styleId="WW8Num18z0">
    <w:name w:val="WW8Num18z0"/>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style>
  <w:style w:type="character" w:styleId="WW8Num17z0">
    <w:name w:val="WW8Num17z0"/>
    <w:qFormat/>
    <w:rPr>
      <w:b/>
    </w:rPr>
  </w:style>
  <w:style w:type="character" w:styleId="WW8Num16z3">
    <w:name w:val="WW8Num16z3"/>
    <w:qFormat/>
    <w:rPr>
      <w:rFonts w:ascii="Symbol" w:hAnsi="Symbol" w:cs="Symbol"/>
    </w:rPr>
  </w:style>
  <w:style w:type="character" w:styleId="WW8Num16z2">
    <w:name w:val="WW8Num16z2"/>
    <w:qFormat/>
    <w:rPr>
      <w:rFonts w:ascii="Wingdings" w:hAnsi="Wingdings" w:cs="Wingdings"/>
    </w:rPr>
  </w:style>
  <w:style w:type="character" w:styleId="WW8Num16z1">
    <w:name w:val="WW8Num16z1"/>
    <w:qFormat/>
    <w:rPr>
      <w:rFonts w:ascii="Courier New" w:hAnsi="Courier New" w:cs="Courier New"/>
    </w:rPr>
  </w:style>
  <w:style w:type="character" w:styleId="WW8Num16z0">
    <w:name w:val="WW8Num16z0"/>
    <w:qFormat/>
    <w:rPr>
      <w:rFonts w:ascii="Times New Roman" w:hAnsi="Times New Roman" w:cs="Times New Roman"/>
    </w:rPr>
  </w:style>
  <w:style w:type="character" w:styleId="WW8Num15z2">
    <w:name w:val="WW8Num15z2"/>
    <w:qFormat/>
    <w:rPr>
      <w:rFonts w:ascii="Wingdings" w:hAnsi="Wingdings" w:cs="Wingdings"/>
    </w:rPr>
  </w:style>
  <w:style w:type="character" w:styleId="WW8Num15z1">
    <w:name w:val="WW8Num15z1"/>
    <w:qFormat/>
    <w:rPr>
      <w:rFonts w:ascii="Courier New" w:hAnsi="Courier New" w:cs="Courier New"/>
    </w:rPr>
  </w:style>
  <w:style w:type="character" w:styleId="WW8Num15z0">
    <w:name w:val="WW8Num15z0"/>
    <w:qFormat/>
    <w:rPr>
      <w:rFonts w:ascii="Symbol" w:hAnsi="Symbol" w:cs="Symbol"/>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style>
  <w:style w:type="character" w:styleId="WW8Num14z2">
    <w:name w:val="WW8Num14z2"/>
    <w:qFormat/>
    <w:rPr/>
  </w:style>
  <w:style w:type="character" w:styleId="WW8Num14z1">
    <w:name w:val="WW8Num14z1"/>
    <w:qFormat/>
    <w:rPr/>
  </w:style>
  <w:style w:type="character" w:styleId="WW8Num14z0">
    <w:name w:val="WW8Num14z0"/>
    <w:qFormat/>
    <w:rPr>
      <w:sz w:val="24"/>
      <w:szCs w:val="24"/>
    </w:rPr>
  </w:style>
  <w:style w:type="character" w:styleId="WW8Num13z0">
    <w:name w:val="WW8Num13z0"/>
    <w:qFormat/>
    <w:rPr/>
  </w:style>
  <w:style w:type="character" w:styleId="WW8Num12z2">
    <w:name w:val="WW8Num12z2"/>
    <w:qFormat/>
    <w:rPr>
      <w:rFonts w:ascii="Wingdings" w:hAnsi="Wingdings" w:cs="Wingdings"/>
    </w:rPr>
  </w:style>
  <w:style w:type="character" w:styleId="WW8Num12z1">
    <w:name w:val="WW8Num12z1"/>
    <w:qFormat/>
    <w:rPr>
      <w:rFonts w:ascii="Courier New" w:hAnsi="Courier New" w:cs="Courier New"/>
    </w:rPr>
  </w:style>
  <w:style w:type="character" w:styleId="WW8Num12z0">
    <w:name w:val="WW8Num12z0"/>
    <w:qFormat/>
    <w:rPr>
      <w:rFonts w:ascii="Symbol" w:hAnsi="Symbol" w:cs="Symbol"/>
    </w:rPr>
  </w:style>
  <w:style w:type="character" w:styleId="WW8Num9z2">
    <w:name w:val="WW8Num9z2"/>
    <w:qFormat/>
    <w:rPr>
      <w:rFonts w:ascii="Wingdings" w:hAnsi="Wingdings" w:cs="Wingdings"/>
    </w:rPr>
  </w:style>
  <w:style w:type="character" w:styleId="WW8Num9z1">
    <w:name w:val="WW8Num9z1"/>
    <w:qFormat/>
    <w:rPr>
      <w:rFonts w:ascii="Courier New" w:hAnsi="Courier New" w:cs="Courier New"/>
    </w:rPr>
  </w:style>
  <w:style w:type="character" w:styleId="WW8Num7z2">
    <w:name w:val="WW8Num7z2"/>
    <w:qFormat/>
    <w:rPr>
      <w:rFonts w:ascii="Wingdings" w:hAnsi="Wingdings" w:cs="Wingdings"/>
    </w:rPr>
  </w:style>
  <w:style w:type="character" w:styleId="WW8Num7z1">
    <w:name w:val="WW8Num7z1"/>
    <w:qFormat/>
    <w:rPr>
      <w:rFonts w:ascii="Courier New" w:hAnsi="Courier New" w:cs="Courier New"/>
    </w:rPr>
  </w:style>
  <w:style w:type="character" w:styleId="WW8Num3z2">
    <w:name w:val="WW8Num3z2"/>
    <w:qFormat/>
    <w:rPr>
      <w:rFonts w:ascii="Wingdings" w:hAnsi="Wingdings" w:cs="Wingdings"/>
    </w:rPr>
  </w:style>
  <w:style w:type="character" w:styleId="WW8Num3z1">
    <w:name w:val="WW8Num3z1"/>
    <w:qFormat/>
    <w:rPr>
      <w:rFonts w:ascii="Courier New" w:hAnsi="Courier New" w:cs="Courier New"/>
    </w:rPr>
  </w:style>
  <w:style w:type="character" w:styleId="WW8Num2z2">
    <w:name w:val="WW8Num2z2"/>
    <w:qFormat/>
    <w:rPr>
      <w:rFonts w:ascii="Wingdings" w:hAnsi="Wingdings" w:cs="Wingdings"/>
    </w:rPr>
  </w:style>
  <w:style w:type="character" w:styleId="WW8Num2z1">
    <w:name w:val="WW8Num2z1"/>
    <w:qFormat/>
    <w:rPr>
      <w:rFonts w:ascii="Courier New" w:hAnsi="Courier New" w:cs="Courier New"/>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sz w:val="24"/>
      <w:szCs w:val="24"/>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10z1">
    <w:name w:val="WW8Num10z1"/>
    <w:qFormat/>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WW8Num10z0">
    <w:name w:val="WW8Num10z0"/>
    <w:qFormat/>
    <w:rPr>
      <w:sz w:val="24"/>
      <w:szCs w:val="24"/>
      <w:shd w:fill="C0C0C0" w:val="clear"/>
    </w:rPr>
  </w:style>
  <w:style w:type="character" w:styleId="WW8Num9z0">
    <w:name w:val="WW8Num9z0"/>
    <w:qFormat/>
    <w:rPr>
      <w:rFonts w:ascii="Symbol" w:hAnsi="Symbol" w:cs="Symbol"/>
    </w:rPr>
  </w:style>
  <w:style w:type="character" w:styleId="WW8Num8z0">
    <w:name w:val="WW8Num8z0"/>
    <w:qFormat/>
    <w:rPr>
      <w:rFonts w:ascii="Symbol" w:hAnsi="Symbol" w:cs="Symbol"/>
    </w:rPr>
  </w:style>
  <w:style w:type="character" w:styleId="WW8Num7z0">
    <w:name w:val="WW8Num7z0"/>
    <w:qFormat/>
    <w:rPr>
      <w:rFonts w:ascii="Symbol" w:hAnsi="Symbol" w:cs="Symbol"/>
    </w:rPr>
  </w:style>
  <w:style w:type="character" w:styleId="WW8Num6z0">
    <w:name w:val="WW8Num6z0"/>
    <w:qFormat/>
    <w:rPr>
      <w:rFonts w:ascii="Symbol" w:hAnsi="Symbol" w:cs="Symbol"/>
    </w:rPr>
  </w:style>
  <w:style w:type="character" w:styleId="WW8Num5z2">
    <w:name w:val="WW8Num5z2"/>
    <w:qFormat/>
    <w:rPr/>
  </w:style>
  <w:style w:type="character" w:styleId="WW8Num5z1">
    <w:name w:val="WW8Num5z1"/>
    <w:qFormat/>
    <w:rPr>
      <w:b w:val="false"/>
      <w:bCs/>
      <w:i w:val="false"/>
    </w:rPr>
  </w:style>
  <w:style w:type="character" w:styleId="WW8Num5z0">
    <w:name w:val="WW8Num5z0"/>
    <w:qFormat/>
    <w:rPr>
      <w:b/>
    </w:rPr>
  </w:style>
  <w:style w:type="character" w:styleId="WW8Num4z2">
    <w:name w:val="WW8Num4z2"/>
    <w:qFormat/>
    <w:rPr>
      <w:bCs/>
      <w:sz w:val="24"/>
      <w:shd w:fill="C0C0C0" w:val="clear"/>
      <w:lang w:val="en-US"/>
    </w:rPr>
  </w:style>
  <w:style w:type="character" w:styleId="WW8Num4z1">
    <w:name w:val="WW8Num4z1"/>
    <w:qFormat/>
    <w:rPr>
      <w:bCs/>
      <w:i w:val="false"/>
      <w:sz w:val="24"/>
      <w:shd w:fill="C0C0C0" w:val="clear"/>
    </w:rPr>
  </w:style>
  <w:style w:type="character" w:styleId="WW8Num4z0">
    <w:name w:val="WW8Num4z0"/>
    <w:qFormat/>
    <w:rPr>
      <w:b/>
      <w:bCs/>
    </w:rPr>
  </w:style>
  <w:style w:type="character" w:styleId="WW8Num3z0">
    <w:name w:val="WW8Num3z0"/>
    <w:qFormat/>
    <w:rPr>
      <w:b/>
      <w:bCs/>
      <w:shd w:fill="C0C0C0" w:val="clear"/>
    </w:rPr>
  </w:style>
  <w:style w:type="character" w:styleId="WW8Num2z0">
    <w:name w:val="WW8Num2z0"/>
    <w:qFormat/>
    <w:rPr>
      <w:rFonts w:ascii="Symbol" w:hAnsi="Symbol" w:cs="Symbol"/>
    </w:rPr>
  </w:style>
  <w:style w:type="paragraph" w:styleId="Style24">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5">
    <w:name w:val="Указатель"/>
    <w:basedOn w:val="Normal"/>
    <w:qFormat/>
    <w:pPr>
      <w:suppressLineNumbers/>
    </w:pPr>
    <w:rPr>
      <w:rFonts w:cs="Lohit Devanagari"/>
      <w:lang w:val="zxx" w:eastAsia="zxx" w:bidi="zxx"/>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6">
    <w:name w:val="Колонтитул"/>
    <w:basedOn w:val="Normal"/>
    <w:qFormat/>
    <w:pPr/>
    <w:rPr/>
  </w:style>
  <w:style w:type="paragraph" w:styleId="Header">
    <w:name w:val="Header"/>
    <w:basedOn w:val="Normal"/>
    <w:link w:val="Style17"/>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7"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8"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9"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30"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31"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firstLine="567" w:left="283"/>
    </w:pPr>
    <w:rPr>
      <w:sz w:val="16"/>
      <w:szCs w:val="16"/>
    </w:rPr>
  </w:style>
  <w:style w:type="paragraph" w:styleId="ListParagraph">
    <w:name w:val="List Paragraph"/>
    <w:basedOn w:val="Normal"/>
    <w:link w:val="Style16"/>
    <w:uiPriority w:val="34"/>
    <w:qFormat/>
    <w:rsid w:val="005f3f9e"/>
    <w:pPr>
      <w:spacing w:lineRule="auto" w:line="240" w:before="0" w:after="0"/>
      <w:ind w:hanging="0" w:left="720"/>
      <w:contextualSpacing/>
      <w:jc w:val="left"/>
    </w:pPr>
    <w:rPr>
      <w:sz w:val="24"/>
      <w:szCs w:val="24"/>
    </w:rPr>
  </w:style>
  <w:style w:type="paragraph" w:styleId="12" w:customStyle="1">
    <w:name w:val="1. Статья"/>
    <w:basedOn w:val="Heading3"/>
    <w:link w:val="1"/>
    <w:qFormat/>
    <w:rsid w:val="005f4a86"/>
    <w:pPr>
      <w:keepNext w:val="false"/>
      <w:widowControl w:val="false"/>
      <w:tabs>
        <w:tab w:val="clear" w:pos="708"/>
        <w:tab w:val="left" w:pos="2340" w:leader="none"/>
      </w:tabs>
      <w:suppressAutoHyphens w:val="false"/>
      <w:overflowPunct w:val="true"/>
      <w:spacing w:before="0" w:after="0"/>
      <w:ind w:hanging="0" w:right="1462"/>
      <w:jc w:val="center"/>
      <w:textAlignment w:val="baseline"/>
    </w:pPr>
    <w:rPr>
      <w:b w:val="false"/>
      <w:sz w:val="24"/>
      <w:szCs w:val="24"/>
    </w:rPr>
  </w:style>
  <w:style w:type="paragraph" w:styleId="22" w:customStyle="1">
    <w:name w:val="2. Пункт"/>
    <w:basedOn w:val="Heading3"/>
    <w:qFormat/>
    <w:rsid w:val="005f4a86"/>
    <w:pPr>
      <w:keepNext w:val="false"/>
      <w:widowControl w:val="false"/>
      <w:suppressAutoHyphens w:val="false"/>
      <w:overflowPunct w:val="tru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tabs>
        <w:tab w:val="clear" w:pos="708"/>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firstLine="720" w:right="19772"/>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link w:val="Style9"/>
    <w:qFormat/>
    <w:rsid w:val="00f50d64"/>
    <w:pPr/>
    <w:rPr>
      <w:b/>
      <w:bCs/>
    </w:rPr>
  </w:style>
  <w:style w:type="paragraph" w:styleId="Footer">
    <w:name w:val="Footer"/>
    <w:basedOn w:val="Normal"/>
    <w:link w:val="Style10"/>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00000A"/>
      <w:kern w:val="0"/>
      <w:sz w:val="28"/>
      <w:szCs w:val="28"/>
      <w:lang w:val="ru-RU" w:eastAsia="ru-RU" w:bidi="ar-SA"/>
    </w:rPr>
  </w:style>
  <w:style w:type="paragraph" w:styleId="Title" w:customStyle="1">
    <w:name w:val="Title"/>
    <w:basedOn w:val="Normal"/>
    <w:link w:val="Style11"/>
    <w:qFormat/>
    <w:rsid w:val="00ae674d"/>
    <w:pPr>
      <w:widowControl w:val="false"/>
      <w:overflowPunct w:val="tru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firstLine="567" w:left="283"/>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true"/>
      <w:spacing w:lineRule="auto" w:line="240" w:before="240" w:after="240"/>
      <w:ind w:hanging="504" w:left="704"/>
      <w:jc w:val="left"/>
      <w:textAlignment w:val="baseline"/>
      <w:outlineLvl w:val="1"/>
    </w:pPr>
    <w:rPr>
      <w:sz w:val="24"/>
      <w:szCs w:val="20"/>
    </w:rPr>
  </w:style>
  <w:style w:type="paragraph" w:styleId="Caption1">
    <w:name w:val="caption1"/>
    <w:basedOn w:val="Normal"/>
    <w:next w:val="Normal"/>
    <w:qFormat/>
    <w:rsid w:val="00ae674d"/>
    <w:pPr>
      <w:widowControl w:val="false"/>
      <w:overflowPunct w:val="true"/>
      <w:spacing w:lineRule="auto" w:line="240" w:before="120" w:after="120"/>
      <w:ind w:hanging="0"/>
      <w:textAlignment w:val="baseline"/>
    </w:pPr>
    <w:rPr>
      <w:b/>
      <w:bCs/>
      <w:sz w:val="24"/>
      <w:szCs w:val="24"/>
    </w:rPr>
  </w:style>
  <w:style w:type="paragraph" w:styleId="13"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rPr/>
  </w:style>
  <w:style w:type="paragraph" w:styleId="-2" w:customStyle="1">
    <w:name w:val="Контракт-подпункт"/>
    <w:basedOn w:val="Normal"/>
    <w:qFormat/>
    <w:rsid w:val="00f43f0d"/>
    <w:pPr/>
    <w:rPr/>
  </w:style>
  <w:style w:type="paragraph" w:styleId="-3" w:customStyle="1">
    <w:name w:val="Контракт-подподпункт"/>
    <w:basedOn w:val="Normal"/>
    <w:qFormat/>
    <w:rsid w:val="00f43f0d"/>
    <w:pPr/>
    <w:rPr/>
  </w:style>
  <w:style w:type="paragraph" w:styleId="EndnoteSymbol">
    <w:name w:val="Endnote Symbol"/>
    <w:basedOn w:val="Normal"/>
    <w:link w:val="Style14"/>
    <w:uiPriority w:val="99"/>
    <w:semiHidden/>
    <w:unhideWhenUsed/>
    <w:qFormat/>
    <w:rsid w:val="008c02d8"/>
    <w:pPr/>
    <w:rPr>
      <w:sz w:val="20"/>
      <w:szCs w:val="20"/>
      <w:lang w:val="x-none" w:eastAsia="x-none"/>
    </w:rPr>
  </w:style>
  <w:style w:type="paragraph" w:styleId="ConsPlusNonformat" w:customStyle="1">
    <w:name w:val="ConsPlusNonformat"/>
    <w:qFormat/>
    <w:rsid w:val="002e3213"/>
    <w:pPr>
      <w:widowControl w:val="false"/>
      <w:suppressAutoHyphens w:val="true"/>
      <w:bidi w:val="0"/>
      <w:spacing w:before="0" w:after="0"/>
      <w:jc w:val="left"/>
    </w:pPr>
    <w:rPr>
      <w:rFonts w:ascii="Courier New" w:hAnsi="Courier New" w:eastAsia="Times New Roman" w:cs="Courier New"/>
      <w:color w:val="00000A"/>
      <w:kern w:val="0"/>
      <w:sz w:val="20"/>
      <w:szCs w:val="20"/>
      <w:lang w:val="ru-RU" w:eastAsia="ru-RU" w:bidi="ar-SA"/>
    </w:rPr>
  </w:style>
  <w:style w:type="paragraph" w:styleId="IndexHeading">
    <w:name w:val="Index Heading"/>
    <w:basedOn w:val="Style24"/>
    <w:pPr/>
    <w:rPr/>
  </w:style>
  <w:style w:type="paragraph" w:styleId="TOCHeading">
    <w:name w:val="TOC Heading"/>
    <w:basedOn w:val="Heading1"/>
    <w:next w:val="Normal"/>
    <w:uiPriority w:val="39"/>
    <w:semiHidden/>
    <w:unhideWhenUsed/>
    <w:qFormat/>
    <w:rsid w:val="005571aa"/>
    <w:pPr>
      <w:keepLines/>
      <w:spacing w:lineRule="auto" w:line="276" w:before="480" w:after="0"/>
      <w:ind w:hanging="0"/>
      <w:jc w:val="left"/>
    </w:pPr>
    <w:rPr>
      <w:rFonts w:ascii="Cambria" w:hAnsi="Cambria" w:eastAsia="" w:cs="" w:asciiTheme="majorHAnsi" w:cstheme="majorBidi" w:eastAsiaTheme="majorEastAsia" w:hAnsiTheme="majorHAnsi"/>
      <w:color w:val="365F91"/>
      <w:sz w:val="28"/>
      <w:szCs w:val="28"/>
      <w:lang w:val="ru-RU" w:eastAsia="ru-RU"/>
    </w:rPr>
  </w:style>
  <w:style w:type="paragraph" w:styleId="Style32">
    <w:name w:val="Содержимое врезки"/>
    <w:basedOn w:val="Normal"/>
    <w:qFormat/>
    <w:pPr/>
    <w:rPr/>
  </w:style>
  <w:style w:type="paragraph" w:styleId="Style33">
    <w:name w:val="Содержимое таблицы"/>
    <w:basedOn w:val="Normal"/>
    <w:qFormat/>
    <w:pPr>
      <w:widowControl w:val="false"/>
      <w:suppressLineNumbers/>
    </w:pPr>
    <w:rPr/>
  </w:style>
  <w:style w:type="paragraph" w:styleId="Style34">
    <w:name w:val="Заголовок таблицы"/>
    <w:basedOn w:val="Style33"/>
    <w:qFormat/>
    <w:pPr>
      <w:suppressLineNumbers/>
      <w:jc w:val="center"/>
    </w:pPr>
    <w:rPr>
      <w:b/>
      <w:bCs/>
    </w:rPr>
  </w:style>
  <w:style w:type="paragraph" w:styleId="14">
    <w:name w:val="Знак Знак Знак Знак Знак Знак Знак Знак Знак1"/>
    <w:basedOn w:val="Normal"/>
    <w:qFormat/>
    <w:pPr>
      <w:spacing w:lineRule="exact" w:line="240" w:before="0" w:after="160"/>
      <w:jc w:val="both"/>
    </w:pPr>
    <w:rPr>
      <w:rFonts w:ascii="Verdana" w:hAnsi="Verdana" w:cs="Verdana"/>
      <w:sz w:val="22"/>
      <w:szCs w:val="20"/>
      <w:lang w:val="en-US"/>
    </w:rPr>
  </w:style>
  <w:style w:type="paragraph" w:styleId="34">
    <w:name w:val="Основной текст 3"/>
    <w:basedOn w:val="Normal"/>
    <w:qFormat/>
    <w:pPr>
      <w:jc w:val="both"/>
    </w:pPr>
    <w:rPr>
      <w:color w:val="0000FF"/>
      <w:lang w:val="ru-RU"/>
    </w:rPr>
  </w:style>
  <w:style w:type="paragraph" w:styleId="Style35">
    <w:name w:val="Абзац списка"/>
    <w:basedOn w:val="Normal"/>
    <w:qFormat/>
    <w:pPr>
      <w:ind w:hanging="0" w:left="708" w:right="0"/>
    </w:pPr>
    <w:rPr/>
  </w:style>
  <w:style w:type="paragraph" w:styleId="U">
    <w:name w:val="u"/>
    <w:basedOn w:val="Normal"/>
    <w:qFormat/>
    <w:pPr>
      <w:ind w:firstLine="390" w:left="0" w:right="0"/>
      <w:jc w:val="both"/>
    </w:pPr>
    <w:rPr/>
  </w:style>
  <w:style w:type="paragraph" w:styleId="Style36">
    <w:name w:val="Текст выноски"/>
    <w:basedOn w:val="Normal"/>
    <w:qFormat/>
    <w:pPr/>
    <w:rPr>
      <w:rFonts w:ascii="Tahoma" w:hAnsi="Tahoma" w:cs="Tahoma"/>
      <w:sz w:val="16"/>
      <w:szCs w:val="16"/>
    </w:rPr>
  </w:style>
  <w:style w:type="paragraph" w:styleId="Style37">
    <w:name w:val="Рецензия"/>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paragraph" w:styleId="Style38">
    <w:name w:val="Тема примечания"/>
    <w:basedOn w:val="Style39"/>
    <w:next w:val="Style39"/>
    <w:qFormat/>
    <w:pPr/>
    <w:rPr>
      <w:b/>
      <w:bCs/>
    </w:rPr>
  </w:style>
  <w:style w:type="paragraph" w:styleId="Style39">
    <w:name w:val="Текст примечания"/>
    <w:basedOn w:val="Normal"/>
    <w:qFormat/>
    <w:pPr/>
    <w:rPr>
      <w:sz w:val="20"/>
      <w:szCs w:val="20"/>
    </w:rPr>
  </w:style>
  <w:style w:type="paragraph" w:styleId="Preformat">
    <w:name w:val="Preformat"/>
    <w:qFormat/>
    <w:pPr>
      <w:widowControl/>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Caption111">
    <w:name w:val="Caption111"/>
    <w:basedOn w:val="Normal"/>
    <w:qFormat/>
    <w:pPr>
      <w:suppressLineNumbers/>
      <w:spacing w:before="120" w:after="120"/>
    </w:pPr>
    <w:rPr>
      <w:rFonts w:cs="Lohit Devanagari"/>
      <w:i/>
      <w:iCs/>
      <w:sz w:val="24"/>
      <w:szCs w:val="24"/>
    </w:rPr>
  </w:style>
  <w:style w:type="paragraph" w:styleId="Caption11">
    <w:name w:val="Caption11"/>
    <w:basedOn w:val="Normal"/>
    <w:qFormat/>
    <w:pPr>
      <w:suppressLineNumbers/>
      <w:spacing w:before="120" w:after="120"/>
    </w:pPr>
    <w:rPr>
      <w:rFonts w:cs="Lohit Devanagari"/>
      <w:i/>
      <w:iCs/>
      <w:sz w:val="24"/>
      <w:szCs w:val="24"/>
    </w:rPr>
  </w:style>
  <w:style w:type="paragraph" w:styleId="Caption12">
    <w:name w:val="Caption12"/>
    <w:basedOn w:val="Normal"/>
    <w:qFormat/>
    <w:pPr>
      <w:suppressLineNumbers/>
      <w:spacing w:before="120" w:after="120"/>
    </w:pPr>
    <w:rPr>
      <w:rFonts w:cs="Lohit Devanagari"/>
      <w:i/>
      <w:iCs/>
      <w:sz w:val="24"/>
      <w:szCs w:val="24"/>
    </w:rPr>
  </w:style>
  <w:style w:type="paragraph" w:styleId="Caption2">
    <w:name w:val="Caption2"/>
    <w:basedOn w:val="Normal"/>
    <w:qFormat/>
    <w:pPr>
      <w:suppressLineNumbers/>
      <w:spacing w:before="120" w:after="120"/>
    </w:pPr>
    <w:rPr>
      <w:rFonts w:cs="Lohit Devanagari"/>
      <w:i/>
      <w:iCs/>
      <w:sz w:val="24"/>
      <w:szCs w:val="24"/>
    </w:rPr>
  </w:style>
  <w:style w:type="numbering" w:styleId="NoList" w:default="1">
    <w:name w:val="No List"/>
    <w:uiPriority w:val="99"/>
    <w:semiHidden/>
    <w:unhideWhenUsed/>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a">
    <w:name w:val="Table Grid"/>
    <w:basedOn w:val="a1"/>
    <w:uiPriority w:val="39"/>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403FF-1D2E-46B5-9ED7-A50FEB4EAA79}">
  <ds:schemaRefs>
    <ds:schemaRef ds:uri="http://schemas.openxmlformats.org/officeDocument/2006/bibliography"/>
  </ds:schemaRefs>
</ds:datastoreItem>
</file>

<file path=customXml/itemProps2.xml><?xml version="1.0" encoding="utf-8"?>
<ds:datastoreItem xmlns:ds="http://schemas.openxmlformats.org/officeDocument/2006/customXml" ds:itemID="{164C73B1-16B0-4945-BC09-183B6391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Application>AlterOffice/2026.2.0.0$Linux_X86_64 LibreOffice_project/bc4ef1adf80b36c7a6365f8ed6cbf29021361edd</Application>
  <AppVersion>15.0000</AppVersion>
  <Pages>38</Pages>
  <Words>16145</Words>
  <Characters>115168</Characters>
  <CharactersWithSpaces>130976</CharactersWithSpaces>
  <Paragraphs>566</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2022-11-01T07:03:00Z</dcterms:created>
  <dc:creator>UK VoHEC</dc:creator>
  <dc:description/>
  <dc:language>ru-RU</dc:language>
  <cp:lastModifiedBy>tsaregorodtsev_av</cp:lastModifiedBy>
  <cp:lastPrinted>2017-08-25T15:35:00Z</cp:lastPrinted>
  <dcterms:modified xsi:type="dcterms:W3CDTF">2026-08-20T16:53:03Z</dcterms:modified>
  <cp:revision>57</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